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74726E" w:rsidRDefault="009F7E6C" w:rsidP="00A454BE">
      <w:pPr>
        <w:ind w:left="6096"/>
        <w:rPr>
          <w:rFonts w:eastAsia="MS Mincho"/>
          <w:bCs/>
          <w:color w:val="FFFFFF" w:themeColor="background1"/>
          <w:sz w:val="28"/>
          <w:szCs w:val="28"/>
        </w:rPr>
      </w:pPr>
      <w:r>
        <w:rPr>
          <w:rFonts w:eastAsia="MS Mincho"/>
          <w:bCs/>
          <w:sz w:val="28"/>
          <w:szCs w:val="28"/>
        </w:rPr>
        <w:t>_______________</w:t>
      </w:r>
      <w:r w:rsidR="00A6448C" w:rsidRPr="0074726E">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606145"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112BE2">
        <w:rPr>
          <w:b/>
          <w:bCs/>
          <w:sz w:val="28"/>
          <w:szCs w:val="28"/>
        </w:rPr>
        <w:t>6</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112BE2" w:rsidRPr="00112BE2">
        <w:rPr>
          <w:b/>
          <w:bCs/>
          <w:sz w:val="28"/>
          <w:szCs w:val="28"/>
        </w:rPr>
        <w:t>поставки компьютеров с периферией и комплектующими</w:t>
      </w:r>
    </w:p>
    <w:p w:rsidR="00112BE2" w:rsidRPr="00A6448C" w:rsidRDefault="00112BE2" w:rsidP="005C5433">
      <w:pPr>
        <w:jc w:val="center"/>
        <w:rPr>
          <w:b/>
          <w:bCs/>
          <w:sz w:val="28"/>
          <w:szCs w:val="28"/>
        </w:rPr>
      </w:pPr>
    </w:p>
    <w:p w:rsidR="0070671C" w:rsidRPr="0070671C" w:rsidRDefault="009C20CF" w:rsidP="0070671C">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70671C" w:rsidRPr="0070671C">
        <w:rPr>
          <w:b/>
          <w:sz w:val="28"/>
          <w:szCs w:val="28"/>
        </w:rPr>
        <w:t xml:space="preserve">Внести изменения в пункт </w:t>
      </w:r>
      <w:r w:rsidR="0070671C">
        <w:rPr>
          <w:b/>
          <w:sz w:val="28"/>
          <w:szCs w:val="28"/>
        </w:rPr>
        <w:t>1.7</w:t>
      </w:r>
      <w:r w:rsidR="0070671C" w:rsidRPr="0070671C">
        <w:rPr>
          <w:b/>
          <w:sz w:val="28"/>
          <w:szCs w:val="28"/>
        </w:rPr>
        <w:t>. аукционной документации и изложить в следующей редакции:</w:t>
      </w:r>
    </w:p>
    <w:p w:rsidR="0070671C" w:rsidRPr="0070671C" w:rsidRDefault="0070671C" w:rsidP="0070671C">
      <w:pPr>
        <w:pStyle w:val="ac"/>
        <w:keepNext/>
        <w:numPr>
          <w:ilvl w:val="1"/>
          <w:numId w:val="29"/>
        </w:numPr>
        <w:tabs>
          <w:tab w:val="left" w:pos="1276"/>
        </w:tabs>
        <w:jc w:val="both"/>
        <w:outlineLvl w:val="2"/>
        <w:rPr>
          <w:bCs/>
          <w:sz w:val="28"/>
          <w:szCs w:val="28"/>
        </w:rPr>
      </w:pPr>
      <w:r w:rsidRPr="0070671C">
        <w:rPr>
          <w:bCs/>
          <w:sz w:val="28"/>
          <w:szCs w:val="28"/>
        </w:rPr>
        <w:t>Порядок, место, дата начала и окончания срока подачи аукционных заявок</w:t>
      </w:r>
    </w:p>
    <w:p w:rsidR="0070671C" w:rsidRPr="0070671C" w:rsidRDefault="0070671C" w:rsidP="0070671C">
      <w:pPr>
        <w:ind w:firstLine="709"/>
        <w:jc w:val="both"/>
        <w:rPr>
          <w:bCs/>
          <w:sz w:val="28"/>
          <w:szCs w:val="28"/>
        </w:rPr>
      </w:pPr>
      <w:r w:rsidRPr="0070671C">
        <w:rPr>
          <w:bCs/>
          <w:sz w:val="28"/>
          <w:szCs w:val="28"/>
        </w:rPr>
        <w:t>Аукционные заявки в электронной форме представляются в порядке, указанном в пунктах 7.3.2-7.3.6 аукционной документации. При подаче аукционной заявки в электронной форме общий объём электронных документов не должен превышать 600 Мегабайт.</w:t>
      </w:r>
    </w:p>
    <w:p w:rsidR="0070671C" w:rsidRPr="0070671C" w:rsidRDefault="0070671C" w:rsidP="0070671C">
      <w:pPr>
        <w:ind w:firstLine="709"/>
        <w:jc w:val="both"/>
        <w:rPr>
          <w:bCs/>
          <w:sz w:val="28"/>
          <w:szCs w:val="28"/>
        </w:rPr>
      </w:pPr>
      <w:r w:rsidRPr="0070671C">
        <w:rPr>
          <w:bCs/>
          <w:sz w:val="28"/>
          <w:szCs w:val="28"/>
        </w:rPr>
        <w:t xml:space="preserve">Дата начала подачи аукционных заявок – с момента опубликования извещения и аукционной документации на официальном сайте АО «Дальгипротранс» www.dgt.ru (раздел «Закупки»), а также электронной площадке АО «Сбербанк-АСТ» на сайте utp.sberbank-ast.ru (далее–сайты) «11» марта 2026 года. </w:t>
      </w:r>
    </w:p>
    <w:p w:rsidR="0070671C" w:rsidRDefault="0070671C" w:rsidP="0070671C">
      <w:pPr>
        <w:ind w:firstLine="709"/>
        <w:jc w:val="both"/>
        <w:rPr>
          <w:bCs/>
          <w:sz w:val="28"/>
          <w:szCs w:val="28"/>
        </w:rPr>
      </w:pPr>
      <w:r w:rsidRPr="0070671C">
        <w:rPr>
          <w:bCs/>
          <w:sz w:val="28"/>
          <w:szCs w:val="28"/>
        </w:rPr>
        <w:t>Дата окончания срока подачи аукционных заявок 10 часов 00 минут местного времени (03 часа 00 минут московского времени) «08» апреля 2026 года.</w:t>
      </w:r>
    </w:p>
    <w:p w:rsidR="0070671C" w:rsidRDefault="0070671C" w:rsidP="0070671C">
      <w:pPr>
        <w:ind w:firstLine="709"/>
        <w:jc w:val="both"/>
        <w:rPr>
          <w:bCs/>
          <w:sz w:val="28"/>
          <w:szCs w:val="28"/>
        </w:rPr>
      </w:pPr>
    </w:p>
    <w:p w:rsidR="0021188E" w:rsidRPr="0070671C" w:rsidRDefault="0070671C" w:rsidP="0021188E">
      <w:pPr>
        <w:ind w:firstLine="709"/>
        <w:jc w:val="both"/>
        <w:rPr>
          <w:b/>
          <w:sz w:val="28"/>
          <w:szCs w:val="28"/>
        </w:rPr>
      </w:pPr>
      <w:r w:rsidRPr="00202B8E">
        <w:rPr>
          <w:b/>
          <w:bCs/>
          <w:sz w:val="28"/>
          <w:szCs w:val="28"/>
        </w:rPr>
        <w:t>2)</w:t>
      </w:r>
      <w:r w:rsidRPr="0070671C">
        <w:t xml:space="preserve"> </w:t>
      </w:r>
      <w:r w:rsidR="0021188E" w:rsidRPr="0070671C">
        <w:rPr>
          <w:b/>
          <w:sz w:val="28"/>
          <w:szCs w:val="28"/>
        </w:rPr>
        <w:t xml:space="preserve">Внести изменения в пункт </w:t>
      </w:r>
      <w:r w:rsidR="0021188E">
        <w:rPr>
          <w:b/>
          <w:sz w:val="28"/>
          <w:szCs w:val="28"/>
        </w:rPr>
        <w:t>1.8</w:t>
      </w:r>
      <w:r w:rsidR="0021188E" w:rsidRPr="0070671C">
        <w:rPr>
          <w:b/>
          <w:sz w:val="28"/>
          <w:szCs w:val="28"/>
        </w:rPr>
        <w:t>. аукционной документации и изложить в следующей редакции:</w:t>
      </w:r>
    </w:p>
    <w:p w:rsidR="0070671C" w:rsidRPr="0070671C" w:rsidRDefault="0070671C" w:rsidP="0070671C">
      <w:pPr>
        <w:ind w:firstLine="709"/>
        <w:jc w:val="both"/>
        <w:rPr>
          <w:bCs/>
          <w:sz w:val="28"/>
          <w:szCs w:val="28"/>
        </w:rPr>
      </w:pPr>
      <w:r w:rsidRPr="0070671C">
        <w:rPr>
          <w:bCs/>
          <w:sz w:val="28"/>
          <w:szCs w:val="28"/>
        </w:rPr>
        <w:t>1.8.</w:t>
      </w:r>
      <w:r w:rsidRPr="0070671C">
        <w:rPr>
          <w:bCs/>
          <w:sz w:val="28"/>
          <w:szCs w:val="28"/>
        </w:rPr>
        <w:tab/>
        <w:t>Место и дата рассмотрения аукционных заявок претендентов открытого аукциона и проведения открытого аукциона</w:t>
      </w:r>
    </w:p>
    <w:p w:rsidR="0070671C" w:rsidRPr="0070671C" w:rsidRDefault="0070671C" w:rsidP="0070671C">
      <w:pPr>
        <w:ind w:firstLine="709"/>
        <w:jc w:val="both"/>
        <w:rPr>
          <w:bCs/>
          <w:sz w:val="28"/>
          <w:szCs w:val="28"/>
        </w:rPr>
      </w:pPr>
      <w:r w:rsidRPr="0070671C">
        <w:rPr>
          <w:bCs/>
          <w:sz w:val="28"/>
          <w:szCs w:val="28"/>
        </w:rPr>
        <w:t>Рассмотрение аукционных заявок осуществляется «</w:t>
      </w:r>
      <w:r>
        <w:rPr>
          <w:bCs/>
          <w:sz w:val="28"/>
          <w:szCs w:val="28"/>
        </w:rPr>
        <w:t>1</w:t>
      </w:r>
      <w:r w:rsidRPr="0070671C">
        <w:rPr>
          <w:bCs/>
          <w:sz w:val="28"/>
          <w:szCs w:val="28"/>
        </w:rPr>
        <w:t xml:space="preserve">0» апреля 2026 года в 14 часов 00 минут местного времени (07 часов 00 минут московского времени) по адресу: г. Хабаровск, ул. Шеронова д. 56, 3 этаж, кабинет № 307. </w:t>
      </w:r>
    </w:p>
    <w:p w:rsidR="0070671C" w:rsidRPr="0070671C" w:rsidRDefault="0070671C" w:rsidP="0070671C">
      <w:pPr>
        <w:ind w:firstLine="709"/>
        <w:jc w:val="both"/>
        <w:rPr>
          <w:bCs/>
          <w:sz w:val="28"/>
          <w:szCs w:val="28"/>
        </w:rPr>
      </w:pPr>
      <w:r w:rsidRPr="0070671C">
        <w:rPr>
          <w:bCs/>
          <w:sz w:val="28"/>
          <w:szCs w:val="28"/>
        </w:rPr>
        <w:t>Проведение открытого аукциона осуществляется в 15 часов 00 минут местного времени (08 часов 00 минут московского времени) «1</w:t>
      </w:r>
      <w:r>
        <w:rPr>
          <w:bCs/>
          <w:sz w:val="28"/>
          <w:szCs w:val="28"/>
        </w:rPr>
        <w:t>6</w:t>
      </w:r>
      <w:r w:rsidRPr="0070671C">
        <w:rPr>
          <w:bCs/>
          <w:sz w:val="28"/>
          <w:szCs w:val="28"/>
        </w:rPr>
        <w:t>» апреля 2026 года 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p w:rsidR="0070671C" w:rsidRDefault="0070671C" w:rsidP="003F48AF">
      <w:pPr>
        <w:ind w:firstLine="709"/>
        <w:jc w:val="both"/>
        <w:rPr>
          <w:b/>
          <w:sz w:val="28"/>
          <w:szCs w:val="28"/>
        </w:rPr>
      </w:pPr>
    </w:p>
    <w:p w:rsidR="00CC0B94" w:rsidRDefault="00202B8E" w:rsidP="003F48AF">
      <w:pPr>
        <w:ind w:firstLine="709"/>
        <w:jc w:val="both"/>
        <w:rPr>
          <w:b/>
          <w:sz w:val="28"/>
          <w:szCs w:val="28"/>
        </w:rPr>
      </w:pPr>
      <w:r>
        <w:rPr>
          <w:b/>
          <w:sz w:val="28"/>
          <w:szCs w:val="28"/>
        </w:rPr>
        <w:t xml:space="preserve">3)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112BE2">
        <w:rPr>
          <w:b/>
          <w:sz w:val="28"/>
          <w:szCs w:val="28"/>
        </w:rPr>
        <w:t>1</w:t>
      </w:r>
      <w:r w:rsidR="00606145">
        <w:rPr>
          <w:b/>
          <w:sz w:val="28"/>
          <w:szCs w:val="28"/>
        </w:rPr>
        <w:t>.1</w:t>
      </w:r>
      <w:r w:rsidR="00AA783F">
        <w:rPr>
          <w:b/>
          <w:sz w:val="28"/>
          <w:szCs w:val="28"/>
        </w:rPr>
        <w:t>.</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112BE2" w:rsidRPr="00112BE2" w:rsidRDefault="00047D1A" w:rsidP="00112BE2">
      <w:pPr>
        <w:ind w:firstLine="709"/>
        <w:jc w:val="both"/>
        <w:rPr>
          <w:bCs/>
          <w:sz w:val="28"/>
          <w:szCs w:val="28"/>
        </w:rPr>
      </w:pPr>
      <w:r>
        <w:rPr>
          <w:b/>
          <w:sz w:val="28"/>
          <w:szCs w:val="28"/>
        </w:rPr>
        <w:t xml:space="preserve"> </w:t>
      </w:r>
      <w:r w:rsidR="00AA783F" w:rsidRPr="00AA783F">
        <w:rPr>
          <w:sz w:val="28"/>
          <w:szCs w:val="28"/>
        </w:rPr>
        <w:t>3.</w:t>
      </w:r>
      <w:r w:rsidR="00112BE2">
        <w:rPr>
          <w:sz w:val="28"/>
          <w:szCs w:val="28"/>
        </w:rPr>
        <w:t>1</w:t>
      </w:r>
      <w:r w:rsidR="00AA783F" w:rsidRPr="00AA783F">
        <w:rPr>
          <w:sz w:val="28"/>
          <w:szCs w:val="28"/>
        </w:rPr>
        <w:t>.</w:t>
      </w:r>
      <w:r w:rsidR="00855EFF">
        <w:rPr>
          <w:sz w:val="28"/>
          <w:szCs w:val="28"/>
        </w:rPr>
        <w:t>1</w:t>
      </w:r>
      <w:r w:rsidR="00AA783F" w:rsidRPr="00AA783F">
        <w:rPr>
          <w:sz w:val="28"/>
          <w:szCs w:val="28"/>
        </w:rPr>
        <w:t>.</w:t>
      </w:r>
      <w:r w:rsidR="00A25133" w:rsidRPr="00A25133">
        <w:rPr>
          <w:bCs/>
          <w:sz w:val="28"/>
          <w:szCs w:val="28"/>
        </w:rPr>
        <w:t xml:space="preserve"> </w:t>
      </w:r>
      <w:bookmarkStart w:id="0" w:name="_Hlk99553539"/>
      <w:bookmarkStart w:id="1" w:name="_Hlk99460039"/>
      <w:r w:rsidR="00112BE2" w:rsidRPr="00112BE2">
        <w:rPr>
          <w:bCs/>
          <w:sz w:val="28"/>
          <w:szCs w:val="28"/>
        </w:rPr>
        <w:t>Техническое задание определяет требования к поставке компьютеров с периферией и комплектующими.</w:t>
      </w:r>
    </w:p>
    <w:p w:rsidR="00112BE2" w:rsidRPr="00112BE2" w:rsidRDefault="00112BE2" w:rsidP="00112BE2">
      <w:pPr>
        <w:ind w:firstLine="709"/>
        <w:jc w:val="both"/>
        <w:rPr>
          <w:bCs/>
          <w:sz w:val="28"/>
          <w:szCs w:val="28"/>
        </w:rPr>
      </w:pPr>
      <w:r w:rsidRPr="00112BE2">
        <w:rPr>
          <w:bCs/>
          <w:sz w:val="28"/>
          <w:szCs w:val="28"/>
        </w:rPr>
        <w:lastRenderedPageBreak/>
        <w:t>Перечень объема, наименование, характеристики, количество поставляемого Товара представлены в таблице № 1.</w:t>
      </w:r>
    </w:p>
    <w:p w:rsidR="00112BE2" w:rsidRPr="00112BE2" w:rsidRDefault="00112BE2" w:rsidP="00112BE2">
      <w:pPr>
        <w:ind w:firstLine="709"/>
        <w:jc w:val="both"/>
        <w:rPr>
          <w:bCs/>
          <w:sz w:val="28"/>
          <w:szCs w:val="28"/>
        </w:rPr>
      </w:pPr>
    </w:p>
    <w:p w:rsidR="00112BE2" w:rsidRPr="00112BE2" w:rsidRDefault="00112BE2" w:rsidP="00112BE2">
      <w:pPr>
        <w:ind w:firstLine="709"/>
        <w:jc w:val="both"/>
        <w:rPr>
          <w:b/>
          <w:bCs/>
          <w:sz w:val="28"/>
          <w:szCs w:val="28"/>
        </w:rPr>
      </w:pPr>
      <w:r w:rsidRPr="00112BE2">
        <w:rPr>
          <w:b/>
          <w:bCs/>
          <w:sz w:val="28"/>
          <w:szCs w:val="28"/>
        </w:rPr>
        <w:t>Таблица № 1</w:t>
      </w:r>
    </w:p>
    <w:p w:rsidR="00112BE2" w:rsidRPr="00112BE2" w:rsidRDefault="00112BE2" w:rsidP="00112BE2">
      <w:pPr>
        <w:ind w:firstLine="709"/>
        <w:jc w:val="both"/>
        <w:rPr>
          <w:b/>
          <w:bCs/>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559"/>
      </w:tblGrid>
      <w:tr w:rsidR="00112BE2" w:rsidRPr="00112BE2" w:rsidTr="00112BE2">
        <w:trPr>
          <w:trHeight w:val="443"/>
        </w:trPr>
        <w:tc>
          <w:tcPr>
            <w:tcW w:w="8613" w:type="dxa"/>
            <w:tcBorders>
              <w:bottom w:val="single" w:sz="4" w:space="0" w:color="auto"/>
            </w:tcBorders>
            <w:vAlign w:val="center"/>
          </w:tcPr>
          <w:p w:rsidR="00112BE2" w:rsidRPr="00853269" w:rsidRDefault="00112BE2" w:rsidP="00112BE2">
            <w:pPr>
              <w:ind w:firstLine="709"/>
              <w:jc w:val="both"/>
              <w:rPr>
                <w:b/>
                <w:bCs/>
                <w:sz w:val="24"/>
                <w:szCs w:val="24"/>
              </w:rPr>
            </w:pPr>
            <w:r w:rsidRPr="00853269">
              <w:rPr>
                <w:b/>
                <w:bCs/>
                <w:sz w:val="24"/>
                <w:szCs w:val="24"/>
              </w:rPr>
              <w:t>Наименование Товара/параметры (Эквивалент)</w:t>
            </w:r>
          </w:p>
        </w:tc>
        <w:tc>
          <w:tcPr>
            <w:tcW w:w="1559" w:type="dxa"/>
            <w:tcBorders>
              <w:bottom w:val="single" w:sz="4" w:space="0" w:color="auto"/>
            </w:tcBorders>
            <w:vAlign w:val="center"/>
          </w:tcPr>
          <w:p w:rsidR="00112BE2" w:rsidRPr="00853269" w:rsidRDefault="00112BE2" w:rsidP="00162465">
            <w:pPr>
              <w:jc w:val="both"/>
              <w:rPr>
                <w:b/>
                <w:bCs/>
                <w:sz w:val="24"/>
                <w:szCs w:val="24"/>
              </w:rPr>
            </w:pPr>
            <w:r w:rsidRPr="00853269">
              <w:rPr>
                <w:b/>
                <w:bCs/>
                <w:sz w:val="24"/>
                <w:szCs w:val="24"/>
              </w:rPr>
              <w:t>Кол-во, шт.</w:t>
            </w:r>
          </w:p>
        </w:tc>
      </w:tr>
      <w:tr w:rsidR="00112BE2" w:rsidRPr="00112BE2" w:rsidTr="00112BE2">
        <w:trPr>
          <w:trHeight w:val="466"/>
        </w:trPr>
        <w:tc>
          <w:tcPr>
            <w:tcW w:w="8613" w:type="dxa"/>
            <w:tcBorders>
              <w:bottom w:val="single" w:sz="4" w:space="0" w:color="auto"/>
            </w:tcBorders>
            <w:vAlign w:val="center"/>
          </w:tcPr>
          <w:p w:rsidR="00112BE2" w:rsidRPr="00853269" w:rsidRDefault="00112BE2" w:rsidP="00202B8E">
            <w:pPr>
              <w:ind w:firstLine="168"/>
              <w:jc w:val="both"/>
              <w:rPr>
                <w:b/>
                <w:bCs/>
                <w:sz w:val="24"/>
                <w:szCs w:val="24"/>
              </w:rPr>
            </w:pPr>
            <w:r w:rsidRPr="00853269">
              <w:rPr>
                <w:b/>
                <w:bCs/>
                <w:sz w:val="24"/>
                <w:szCs w:val="24"/>
              </w:rPr>
              <w:t xml:space="preserve">Компьютер PC </w:t>
            </w:r>
            <w:proofErr w:type="spellStart"/>
            <w:r w:rsidRPr="00853269">
              <w:rPr>
                <w:b/>
                <w:bCs/>
                <w:sz w:val="24"/>
                <w:szCs w:val="24"/>
              </w:rPr>
              <w:t>iRU</w:t>
            </w:r>
            <w:proofErr w:type="spellEnd"/>
            <w:r w:rsidRPr="00853269">
              <w:rPr>
                <w:b/>
                <w:bCs/>
                <w:sz w:val="24"/>
                <w:szCs w:val="24"/>
              </w:rPr>
              <w:t xml:space="preserve"> </w:t>
            </w:r>
            <w:proofErr w:type="spellStart"/>
            <w:r w:rsidRPr="00853269">
              <w:rPr>
                <w:b/>
                <w:bCs/>
                <w:sz w:val="24"/>
                <w:szCs w:val="24"/>
              </w:rPr>
              <w:t>Corp</w:t>
            </w:r>
            <w:proofErr w:type="spellEnd"/>
            <w:r w:rsidRPr="00853269">
              <w:rPr>
                <w:b/>
                <w:bCs/>
                <w:sz w:val="24"/>
                <w:szCs w:val="24"/>
              </w:rPr>
              <w:t xml:space="preserve"> 717 </w:t>
            </w:r>
            <w:proofErr w:type="spellStart"/>
            <w:r w:rsidRPr="00853269">
              <w:rPr>
                <w:b/>
                <w:bCs/>
                <w:sz w:val="24"/>
                <w:szCs w:val="24"/>
              </w:rPr>
              <w:t>Ultra</w:t>
            </w:r>
            <w:proofErr w:type="spellEnd"/>
            <w:r w:rsidRPr="00853269">
              <w:rPr>
                <w:b/>
                <w:bCs/>
                <w:sz w:val="24"/>
                <w:szCs w:val="24"/>
              </w:rPr>
              <w:t xml:space="preserve"> 7 265K/32Gb/</w:t>
            </w:r>
            <w:proofErr w:type="spellStart"/>
            <w:r w:rsidRPr="00853269">
              <w:rPr>
                <w:b/>
                <w:bCs/>
                <w:sz w:val="24"/>
                <w:szCs w:val="24"/>
              </w:rPr>
              <w:t>SSDlTb</w:t>
            </w:r>
            <w:proofErr w:type="spellEnd"/>
            <w:r w:rsidRPr="00853269">
              <w:rPr>
                <w:b/>
                <w:bCs/>
                <w:sz w:val="24"/>
                <w:szCs w:val="24"/>
              </w:rPr>
              <w:t>/RTX5060Ti 16Gb/</w:t>
            </w:r>
            <w:proofErr w:type="spellStart"/>
            <w:r w:rsidRPr="00853269">
              <w:rPr>
                <w:b/>
                <w:bCs/>
                <w:sz w:val="24"/>
                <w:szCs w:val="24"/>
              </w:rPr>
              <w:t>WllPRO</w:t>
            </w:r>
            <w:proofErr w:type="spellEnd"/>
            <w:r w:rsidRPr="00853269">
              <w:rPr>
                <w:b/>
                <w:bCs/>
                <w:sz w:val="24"/>
                <w:szCs w:val="24"/>
              </w:rPr>
              <w:t>/KB/M/</w:t>
            </w:r>
            <w:proofErr w:type="spellStart"/>
            <w:r w:rsidRPr="00853269">
              <w:rPr>
                <w:b/>
                <w:bCs/>
                <w:sz w:val="24"/>
                <w:szCs w:val="24"/>
              </w:rPr>
              <w:t>black</w:t>
            </w:r>
            <w:proofErr w:type="spellEnd"/>
            <w:r w:rsidRPr="00853269">
              <w:rPr>
                <w:b/>
                <w:bCs/>
                <w:sz w:val="24"/>
                <w:szCs w:val="24"/>
              </w:rPr>
              <w:t xml:space="preserve"> в составе:</w:t>
            </w:r>
          </w:p>
          <w:p w:rsidR="00112BE2" w:rsidRPr="00853269" w:rsidRDefault="00112BE2" w:rsidP="00202B8E">
            <w:pPr>
              <w:ind w:firstLine="168"/>
              <w:jc w:val="both"/>
              <w:rPr>
                <w:bCs/>
                <w:sz w:val="24"/>
                <w:szCs w:val="24"/>
              </w:rPr>
            </w:pPr>
            <w:r w:rsidRPr="00853269">
              <w:rPr>
                <w:bCs/>
                <w:sz w:val="24"/>
                <w:szCs w:val="24"/>
              </w:rPr>
              <w:t xml:space="preserve">Мониторы </w:t>
            </w:r>
            <w:proofErr w:type="spellStart"/>
            <w:r w:rsidRPr="00853269">
              <w:rPr>
                <w:bCs/>
                <w:sz w:val="24"/>
                <w:szCs w:val="24"/>
              </w:rPr>
              <w:t>Iiyama</w:t>
            </w:r>
            <w:proofErr w:type="spellEnd"/>
            <w:r w:rsidRPr="00853269">
              <w:rPr>
                <w:bCs/>
                <w:sz w:val="24"/>
                <w:szCs w:val="24"/>
              </w:rPr>
              <w:t xml:space="preserve"> 32" 2 штуки. XUB3297QSNP-B1 IPS QHD b1 1ms HDMI DP USB M/M HAS </w:t>
            </w:r>
            <w:proofErr w:type="spellStart"/>
            <w:r w:rsidRPr="00853269">
              <w:rPr>
                <w:bCs/>
                <w:sz w:val="24"/>
                <w:szCs w:val="24"/>
              </w:rPr>
              <w:t>Piv</w:t>
            </w:r>
            <w:proofErr w:type="spellEnd"/>
            <w:r w:rsidRPr="00853269">
              <w:rPr>
                <w:bCs/>
                <w:sz w:val="24"/>
                <w:szCs w:val="24"/>
              </w:rPr>
              <w:t xml:space="preserve"> 100Hz 350cd </w:t>
            </w:r>
            <w:proofErr w:type="spellStart"/>
            <w:r w:rsidRPr="00853269">
              <w:rPr>
                <w:bCs/>
                <w:sz w:val="24"/>
                <w:szCs w:val="24"/>
              </w:rPr>
              <w:t>In</w:t>
            </w:r>
            <w:proofErr w:type="spellEnd"/>
          </w:p>
          <w:p w:rsidR="00112BE2" w:rsidRPr="00853269" w:rsidRDefault="00112BE2" w:rsidP="00202B8E">
            <w:pPr>
              <w:ind w:firstLine="168"/>
              <w:jc w:val="both"/>
              <w:rPr>
                <w:bCs/>
                <w:sz w:val="24"/>
                <w:szCs w:val="24"/>
                <w:lang w:val="en-US"/>
              </w:rPr>
            </w:pPr>
            <w:r w:rsidRPr="00853269">
              <w:rPr>
                <w:bCs/>
                <w:sz w:val="24"/>
                <w:szCs w:val="24"/>
                <w:lang w:val="en-US"/>
              </w:rPr>
              <w:t>M/B Asus PRIME Z890-P WIFI Soc-1851 Intel Z890 4xDDR5 ATX AC'97 8ch(7.1) 2.5Gg RAID+HDMI+DP</w:t>
            </w:r>
          </w:p>
          <w:p w:rsidR="00112BE2" w:rsidRPr="00853269" w:rsidRDefault="00112BE2" w:rsidP="00202B8E">
            <w:pPr>
              <w:ind w:firstLine="168"/>
              <w:jc w:val="both"/>
              <w:rPr>
                <w:bCs/>
                <w:sz w:val="24"/>
                <w:szCs w:val="24"/>
                <w:lang w:val="en-US"/>
              </w:rPr>
            </w:pPr>
            <w:r w:rsidRPr="00853269">
              <w:rPr>
                <w:bCs/>
                <w:sz w:val="24"/>
                <w:szCs w:val="24"/>
                <w:lang w:val="en-US"/>
              </w:rPr>
              <w:t>CPU Intel Core Ultra 7 265K Soc-1851</w:t>
            </w:r>
          </w:p>
          <w:p w:rsidR="00112BE2" w:rsidRPr="00853269" w:rsidRDefault="00112BE2" w:rsidP="00202B8E">
            <w:pPr>
              <w:ind w:firstLine="168"/>
              <w:jc w:val="both"/>
              <w:rPr>
                <w:bCs/>
                <w:sz w:val="24"/>
                <w:szCs w:val="24"/>
              </w:rPr>
            </w:pPr>
            <w:r w:rsidRPr="00853269">
              <w:rPr>
                <w:bCs/>
                <w:sz w:val="24"/>
                <w:szCs w:val="24"/>
              </w:rPr>
              <w:t xml:space="preserve">Система воздушного охлаждения </w:t>
            </w:r>
            <w:proofErr w:type="spellStart"/>
            <w:r w:rsidRPr="00853269">
              <w:rPr>
                <w:bCs/>
                <w:sz w:val="24"/>
                <w:szCs w:val="24"/>
              </w:rPr>
              <w:t>Cooler</w:t>
            </w:r>
            <w:proofErr w:type="spellEnd"/>
            <w:r w:rsidRPr="00853269">
              <w:rPr>
                <w:bCs/>
                <w:sz w:val="24"/>
                <w:szCs w:val="24"/>
              </w:rPr>
              <w:t xml:space="preserve"> </w:t>
            </w:r>
            <w:proofErr w:type="spellStart"/>
            <w:r w:rsidRPr="00853269">
              <w:rPr>
                <w:bCs/>
                <w:sz w:val="24"/>
                <w:szCs w:val="24"/>
              </w:rPr>
              <w:t>Soc</w:t>
            </w:r>
            <w:proofErr w:type="spellEnd"/>
            <w:r w:rsidRPr="00853269">
              <w:rPr>
                <w:bCs/>
                <w:sz w:val="24"/>
                <w:szCs w:val="24"/>
              </w:rPr>
              <w:t>- AM5/AM4/1200/1700/1851 4-pin</w:t>
            </w:r>
          </w:p>
          <w:p w:rsidR="00112BE2" w:rsidRPr="00853269" w:rsidRDefault="00112BE2" w:rsidP="00202B8E">
            <w:pPr>
              <w:ind w:firstLine="168"/>
              <w:jc w:val="both"/>
              <w:rPr>
                <w:bCs/>
                <w:sz w:val="24"/>
                <w:szCs w:val="24"/>
                <w:lang w:val="en-US"/>
              </w:rPr>
            </w:pPr>
            <w:r w:rsidRPr="00853269">
              <w:rPr>
                <w:bCs/>
                <w:sz w:val="24"/>
                <w:szCs w:val="24"/>
                <w:lang w:val="en-US"/>
              </w:rPr>
              <w:t>Memory DDR5 64GB (32x2) 6000MHz DIMM</w:t>
            </w:r>
          </w:p>
          <w:p w:rsidR="00112BE2" w:rsidRPr="00853269" w:rsidRDefault="00112BE2" w:rsidP="00202B8E">
            <w:pPr>
              <w:ind w:firstLine="168"/>
              <w:jc w:val="both"/>
              <w:rPr>
                <w:bCs/>
                <w:sz w:val="24"/>
                <w:szCs w:val="24"/>
                <w:lang w:val="en-US"/>
              </w:rPr>
            </w:pPr>
            <w:r w:rsidRPr="00853269">
              <w:rPr>
                <w:bCs/>
                <w:sz w:val="24"/>
                <w:szCs w:val="24"/>
                <w:lang w:val="en-US"/>
              </w:rPr>
              <w:t xml:space="preserve">SSD Samsung </w:t>
            </w:r>
            <w:proofErr w:type="spellStart"/>
            <w:r w:rsidRPr="00853269">
              <w:rPr>
                <w:bCs/>
                <w:sz w:val="24"/>
                <w:szCs w:val="24"/>
                <w:lang w:val="en-US"/>
              </w:rPr>
              <w:t>PCIe</w:t>
            </w:r>
            <w:proofErr w:type="spellEnd"/>
            <w:r w:rsidRPr="00853269">
              <w:rPr>
                <w:bCs/>
                <w:sz w:val="24"/>
                <w:szCs w:val="24"/>
                <w:lang w:val="en-US"/>
              </w:rPr>
              <w:t xml:space="preserve"> 4.0 x4 1TB MZ-V9S1T0B/AM 990 </w:t>
            </w:r>
            <w:proofErr w:type="spellStart"/>
            <w:r w:rsidRPr="00853269">
              <w:rPr>
                <w:bCs/>
                <w:sz w:val="24"/>
                <w:szCs w:val="24"/>
                <w:lang w:val="en-US"/>
              </w:rPr>
              <w:t>Evo</w:t>
            </w:r>
            <w:proofErr w:type="spellEnd"/>
            <w:r w:rsidRPr="00853269">
              <w:rPr>
                <w:bCs/>
                <w:sz w:val="24"/>
                <w:szCs w:val="24"/>
                <w:lang w:val="en-US"/>
              </w:rPr>
              <w:t xml:space="preserve"> Plus M.2 2280</w:t>
            </w:r>
          </w:p>
          <w:p w:rsidR="00112BE2" w:rsidRPr="00853269" w:rsidRDefault="00112BE2" w:rsidP="00202B8E">
            <w:pPr>
              <w:ind w:firstLine="168"/>
              <w:jc w:val="both"/>
              <w:rPr>
                <w:bCs/>
                <w:sz w:val="24"/>
                <w:szCs w:val="24"/>
                <w:lang w:val="en-US"/>
              </w:rPr>
            </w:pPr>
            <w:r w:rsidRPr="00853269">
              <w:rPr>
                <w:bCs/>
                <w:sz w:val="24"/>
                <w:szCs w:val="24"/>
                <w:lang w:val="en-US"/>
              </w:rPr>
              <w:t>HDD SATA-Ill 2TB (5400rpm) 64Mb 3.5"</w:t>
            </w:r>
          </w:p>
          <w:p w:rsidR="00112BE2" w:rsidRPr="00853269" w:rsidRDefault="00112BE2" w:rsidP="00202B8E">
            <w:pPr>
              <w:ind w:firstLine="168"/>
              <w:jc w:val="both"/>
              <w:rPr>
                <w:bCs/>
                <w:sz w:val="24"/>
                <w:szCs w:val="24"/>
                <w:lang w:val="en-US"/>
              </w:rPr>
            </w:pPr>
            <w:r w:rsidRPr="00853269">
              <w:rPr>
                <w:bCs/>
                <w:sz w:val="24"/>
                <w:szCs w:val="24"/>
                <w:lang w:val="en-US"/>
              </w:rPr>
              <w:t>/</w:t>
            </w:r>
            <w:r w:rsidRPr="00853269">
              <w:rPr>
                <w:bCs/>
                <w:sz w:val="24"/>
                <w:szCs w:val="24"/>
              </w:rPr>
              <w:t>С</w:t>
            </w:r>
            <w:r w:rsidRPr="00853269">
              <w:rPr>
                <w:bCs/>
                <w:sz w:val="24"/>
                <w:szCs w:val="24"/>
                <w:lang w:val="en-US"/>
              </w:rPr>
              <w:t xml:space="preserve"> </w:t>
            </w:r>
            <w:proofErr w:type="spellStart"/>
            <w:r w:rsidRPr="00853269">
              <w:rPr>
                <w:bCs/>
                <w:sz w:val="24"/>
                <w:szCs w:val="24"/>
                <w:lang w:val="en-US"/>
              </w:rPr>
              <w:t>Palit</w:t>
            </w:r>
            <w:proofErr w:type="spellEnd"/>
            <w:r w:rsidRPr="00853269">
              <w:rPr>
                <w:bCs/>
                <w:sz w:val="24"/>
                <w:szCs w:val="24"/>
                <w:lang w:val="en-US"/>
              </w:rPr>
              <w:t xml:space="preserve"> PCI-E 5.0 PA-RTX5060TI INFINITY 3 NV RTX 5060TI 16Gb 128bit GDDR7 2407/28000/</w:t>
            </w:r>
            <w:proofErr w:type="spellStart"/>
            <w:r w:rsidRPr="00853269">
              <w:rPr>
                <w:bCs/>
                <w:sz w:val="24"/>
                <w:szCs w:val="24"/>
                <w:lang w:val="en-US"/>
              </w:rPr>
              <w:t>HDMIxl</w:t>
            </w:r>
            <w:proofErr w:type="spellEnd"/>
            <w:r w:rsidRPr="00853269">
              <w:rPr>
                <w:bCs/>
                <w:sz w:val="24"/>
                <w:szCs w:val="24"/>
                <w:lang w:val="en-US"/>
              </w:rPr>
              <w:t>/DPx3/H</w:t>
            </w:r>
          </w:p>
          <w:p w:rsidR="00112BE2" w:rsidRPr="00853269" w:rsidRDefault="00112BE2" w:rsidP="00202B8E">
            <w:pPr>
              <w:ind w:firstLine="168"/>
              <w:jc w:val="both"/>
              <w:rPr>
                <w:bCs/>
                <w:sz w:val="24"/>
                <w:szCs w:val="24"/>
                <w:lang w:val="en-US"/>
              </w:rPr>
            </w:pPr>
            <w:r w:rsidRPr="00853269">
              <w:rPr>
                <w:bCs/>
                <w:sz w:val="24"/>
                <w:szCs w:val="24"/>
                <w:lang w:val="en-US"/>
              </w:rPr>
              <w:t xml:space="preserve">Case Formula Crystal Z6 Floe black w/o PSU ATX 2xUSB3.0 audio </w:t>
            </w:r>
            <w:proofErr w:type="spellStart"/>
            <w:r w:rsidRPr="00853269">
              <w:rPr>
                <w:bCs/>
                <w:sz w:val="24"/>
                <w:szCs w:val="24"/>
                <w:lang w:val="en-US"/>
              </w:rPr>
              <w:t>bott</w:t>
            </w:r>
            <w:proofErr w:type="spellEnd"/>
            <w:r w:rsidRPr="00853269">
              <w:rPr>
                <w:bCs/>
                <w:sz w:val="24"/>
                <w:szCs w:val="24"/>
                <w:lang w:val="en-US"/>
              </w:rPr>
              <w:t xml:space="preserve"> PSU</w:t>
            </w:r>
          </w:p>
          <w:p w:rsidR="00112BE2" w:rsidRPr="00853269" w:rsidRDefault="00112BE2" w:rsidP="00202B8E">
            <w:pPr>
              <w:ind w:firstLine="168"/>
              <w:jc w:val="both"/>
              <w:rPr>
                <w:bCs/>
                <w:sz w:val="24"/>
                <w:szCs w:val="24"/>
                <w:lang w:val="en-US"/>
              </w:rPr>
            </w:pPr>
            <w:r w:rsidRPr="00853269">
              <w:rPr>
                <w:bCs/>
                <w:sz w:val="24"/>
                <w:szCs w:val="24"/>
                <w:lang w:val="en-US"/>
              </w:rPr>
              <w:t xml:space="preserve">Power Supply </w:t>
            </w:r>
            <w:proofErr w:type="spellStart"/>
            <w:r w:rsidRPr="00853269">
              <w:rPr>
                <w:bCs/>
                <w:sz w:val="24"/>
                <w:szCs w:val="24"/>
                <w:lang w:val="en-US"/>
              </w:rPr>
              <w:t>Deepcool</w:t>
            </w:r>
            <w:proofErr w:type="spellEnd"/>
            <w:r w:rsidRPr="00853269">
              <w:rPr>
                <w:bCs/>
                <w:sz w:val="24"/>
                <w:szCs w:val="24"/>
                <w:lang w:val="en-US"/>
              </w:rPr>
              <w:t xml:space="preserve"> ATX 850W Gamer Storm PN850D Gen.5 80+gold (20+4pin) APFC 120mm fan 8xSATA</w:t>
            </w:r>
          </w:p>
          <w:p w:rsidR="00112BE2" w:rsidRPr="00853269" w:rsidRDefault="00112BE2" w:rsidP="00202B8E">
            <w:pPr>
              <w:ind w:firstLine="168"/>
              <w:jc w:val="both"/>
              <w:rPr>
                <w:bCs/>
                <w:sz w:val="24"/>
                <w:szCs w:val="24"/>
                <w:lang w:val="en-US"/>
              </w:rPr>
            </w:pPr>
            <w:r w:rsidRPr="00853269">
              <w:rPr>
                <w:bCs/>
                <w:sz w:val="24"/>
                <w:szCs w:val="24"/>
                <w:lang w:val="en-US"/>
              </w:rPr>
              <w:t>Microsoft Windows 11 Pro 64Bit</w:t>
            </w:r>
          </w:p>
          <w:p w:rsidR="00112BE2" w:rsidRPr="00853269" w:rsidRDefault="00112BE2" w:rsidP="00202B8E">
            <w:pPr>
              <w:ind w:firstLine="168"/>
              <w:jc w:val="both"/>
              <w:rPr>
                <w:b/>
                <w:bCs/>
                <w:sz w:val="24"/>
                <w:szCs w:val="24"/>
                <w:lang w:val="en-US"/>
              </w:rPr>
            </w:pPr>
            <w:r w:rsidRPr="00853269">
              <w:rPr>
                <w:bCs/>
                <w:sz w:val="24"/>
                <w:szCs w:val="24"/>
                <w:lang w:val="en-US"/>
              </w:rPr>
              <w:t xml:space="preserve">Keyboard + mouse Logitech MK120 </w:t>
            </w:r>
            <w:proofErr w:type="spellStart"/>
            <w:r w:rsidRPr="00853269">
              <w:rPr>
                <w:bCs/>
                <w:sz w:val="24"/>
                <w:szCs w:val="24"/>
                <w:lang w:val="en-US"/>
              </w:rPr>
              <w:t>kb:black</w:t>
            </w:r>
            <w:proofErr w:type="spellEnd"/>
            <w:r w:rsidRPr="00853269">
              <w:rPr>
                <w:bCs/>
                <w:sz w:val="24"/>
                <w:szCs w:val="24"/>
                <w:lang w:val="en-US"/>
              </w:rPr>
              <w:t xml:space="preserve"> </w:t>
            </w:r>
            <w:proofErr w:type="spellStart"/>
            <w:r w:rsidRPr="00853269">
              <w:rPr>
                <w:bCs/>
                <w:sz w:val="24"/>
                <w:szCs w:val="24"/>
                <w:lang w:val="en-US"/>
              </w:rPr>
              <w:t>mou:black</w:t>
            </w:r>
            <w:proofErr w:type="spellEnd"/>
            <w:r w:rsidRPr="00853269">
              <w:rPr>
                <w:bCs/>
                <w:sz w:val="24"/>
                <w:szCs w:val="24"/>
                <w:lang w:val="en-US"/>
              </w:rPr>
              <w:t>/grey USB (920-002561)</w:t>
            </w:r>
          </w:p>
        </w:tc>
        <w:tc>
          <w:tcPr>
            <w:tcW w:w="1559" w:type="dxa"/>
            <w:tcBorders>
              <w:bottom w:val="single" w:sz="4" w:space="0" w:color="auto"/>
            </w:tcBorders>
            <w:vAlign w:val="center"/>
          </w:tcPr>
          <w:p w:rsidR="00112BE2" w:rsidRPr="00853269" w:rsidRDefault="00112BE2" w:rsidP="00112BE2">
            <w:pPr>
              <w:ind w:firstLine="709"/>
              <w:jc w:val="both"/>
              <w:rPr>
                <w:bCs/>
                <w:sz w:val="24"/>
                <w:szCs w:val="24"/>
              </w:rPr>
            </w:pPr>
            <w:r w:rsidRPr="00853269">
              <w:rPr>
                <w:bCs/>
                <w:sz w:val="24"/>
                <w:szCs w:val="24"/>
              </w:rPr>
              <w:t>40</w:t>
            </w:r>
          </w:p>
        </w:tc>
      </w:tr>
    </w:tbl>
    <w:p w:rsidR="00112BE2" w:rsidRPr="00112BE2" w:rsidRDefault="00112BE2" w:rsidP="00112BE2">
      <w:pPr>
        <w:ind w:firstLine="709"/>
        <w:jc w:val="both"/>
        <w:rPr>
          <w:bCs/>
          <w:sz w:val="28"/>
          <w:szCs w:val="28"/>
          <w:lang w:val="en-US"/>
        </w:rPr>
      </w:pPr>
    </w:p>
    <w:p w:rsidR="00112BE2" w:rsidRPr="00112BE2" w:rsidRDefault="00112BE2" w:rsidP="00112BE2">
      <w:pPr>
        <w:ind w:firstLine="709"/>
        <w:jc w:val="both"/>
        <w:rPr>
          <w:bCs/>
          <w:sz w:val="28"/>
          <w:szCs w:val="28"/>
        </w:rPr>
      </w:pPr>
      <w:r w:rsidRPr="00112BE2">
        <w:rPr>
          <w:bCs/>
          <w:sz w:val="28"/>
          <w:szCs w:val="28"/>
        </w:rPr>
        <w:t>Технические характеристики поставляемого товара определены в таблице № 2</w:t>
      </w:r>
    </w:p>
    <w:p w:rsidR="00112BE2" w:rsidRPr="00112BE2" w:rsidRDefault="00112BE2" w:rsidP="00112BE2">
      <w:pPr>
        <w:ind w:firstLine="709"/>
        <w:jc w:val="both"/>
        <w:rPr>
          <w:bCs/>
          <w:sz w:val="28"/>
          <w:szCs w:val="28"/>
        </w:rPr>
      </w:pPr>
      <w:r w:rsidRPr="00112BE2">
        <w:rPr>
          <w:bCs/>
          <w:sz w:val="28"/>
          <w:szCs w:val="28"/>
        </w:rPr>
        <w:t>Таблица № 2</w:t>
      </w:r>
    </w:p>
    <w:tbl>
      <w:tblPr>
        <w:tblpPr w:leftFromText="180" w:rightFromText="180" w:vertAnchor="text" w:tblpX="64"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6950"/>
        <w:gridCol w:w="2268"/>
        <w:gridCol w:w="7"/>
      </w:tblGrid>
      <w:tr w:rsidR="00112BE2" w:rsidRPr="00195799" w:rsidTr="0059364A">
        <w:trPr>
          <w:gridAfter w:val="1"/>
          <w:wAfter w:w="7" w:type="dxa"/>
          <w:trHeight w:val="1114"/>
        </w:trPr>
        <w:tc>
          <w:tcPr>
            <w:tcW w:w="705" w:type="dxa"/>
            <w:shd w:val="clear" w:color="auto" w:fill="FFFFFF"/>
            <w:tcMar>
              <w:top w:w="0" w:type="dxa"/>
              <w:left w:w="108" w:type="dxa"/>
              <w:bottom w:w="0" w:type="dxa"/>
              <w:right w:w="108" w:type="dxa"/>
            </w:tcMar>
            <w:vAlign w:val="center"/>
            <w:hideMark/>
          </w:tcPr>
          <w:p w:rsidR="00112BE2" w:rsidRPr="00195799" w:rsidRDefault="00112BE2" w:rsidP="0059364A">
            <w:pPr>
              <w:ind w:firstLine="709"/>
              <w:jc w:val="both"/>
              <w:rPr>
                <w:bCs/>
                <w:sz w:val="24"/>
                <w:szCs w:val="24"/>
              </w:rPr>
            </w:pPr>
            <w:r w:rsidRPr="00195799">
              <w:rPr>
                <w:bCs/>
                <w:sz w:val="24"/>
                <w:szCs w:val="24"/>
              </w:rPr>
              <w:t xml:space="preserve"> п/п</w:t>
            </w:r>
          </w:p>
        </w:tc>
        <w:tc>
          <w:tcPr>
            <w:tcW w:w="6950" w:type="dxa"/>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Наименование показателя, единица измерения показателя</w:t>
            </w:r>
          </w:p>
        </w:tc>
        <w:tc>
          <w:tcPr>
            <w:tcW w:w="2268" w:type="dxa"/>
            <w:tcMar>
              <w:top w:w="0" w:type="dxa"/>
              <w:left w:w="108" w:type="dxa"/>
              <w:bottom w:w="0" w:type="dxa"/>
              <w:right w:w="108" w:type="dxa"/>
            </w:tcMar>
            <w:vAlign w:val="center"/>
            <w:hideMark/>
          </w:tcPr>
          <w:p w:rsidR="00112BE2" w:rsidRPr="00195799" w:rsidRDefault="00112BE2" w:rsidP="0059364A">
            <w:pPr>
              <w:ind w:firstLine="61"/>
              <w:rPr>
                <w:bCs/>
                <w:sz w:val="24"/>
                <w:szCs w:val="24"/>
              </w:rPr>
            </w:pPr>
            <w:r w:rsidRPr="00195799">
              <w:rPr>
                <w:bCs/>
                <w:sz w:val="24"/>
                <w:szCs w:val="24"/>
              </w:rPr>
              <w:t>Значение показателя (не менее)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Форм-фактор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TWR</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Материал прозрачной боковой панели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Закаленное стекло</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Фиксация боковых панелей в корпусе на защелке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Материал прозрачной передней панели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Закаленное стекло</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Пылевые фильтры в основании корпуса (снизу), и в верхней части корпуса (сверху)</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Общее кол-во установленных вентиляторов в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4</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Возможность установки системы водяного охлаждения 120/240/360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Форм-фактор БП</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180"/>
              <w:jc w:val="both"/>
              <w:rPr>
                <w:bCs/>
                <w:sz w:val="24"/>
                <w:szCs w:val="24"/>
                <w:lang w:val="en-US"/>
              </w:rPr>
            </w:pPr>
            <w:r w:rsidRPr="00195799">
              <w:rPr>
                <w:bCs/>
                <w:sz w:val="24"/>
                <w:szCs w:val="24"/>
                <w:lang w:val="en-US"/>
              </w:rPr>
              <w:t>ATX</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Размещение HDD в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lang w:val="en-US"/>
              </w:rPr>
            </w:pPr>
            <w:proofErr w:type="spellStart"/>
            <w:r w:rsidRPr="00195799">
              <w:rPr>
                <w:bCs/>
                <w:sz w:val="24"/>
                <w:szCs w:val="24"/>
                <w:lang w:val="en-US"/>
              </w:rPr>
              <w:t>вертикальное</w:t>
            </w:r>
            <w:proofErr w:type="spellEnd"/>
            <w:r w:rsidRPr="00195799">
              <w:rPr>
                <w:bCs/>
                <w:sz w:val="24"/>
                <w:szCs w:val="24"/>
                <w:lang w:val="en-US"/>
              </w:rPr>
              <w:t xml:space="preserve">, </w:t>
            </w:r>
            <w:proofErr w:type="spellStart"/>
            <w:r w:rsidRPr="00195799">
              <w:rPr>
                <w:bCs/>
                <w:sz w:val="24"/>
                <w:szCs w:val="24"/>
                <w:lang w:val="en-US"/>
              </w:rPr>
              <w:t>продольное</w:t>
            </w:r>
            <w:proofErr w:type="spellEnd"/>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Максимальная высота кулера процессора в корпусе,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lang w:val="en-US"/>
              </w:rPr>
            </w:pPr>
            <w:r w:rsidRPr="00195799">
              <w:rPr>
                <w:bCs/>
                <w:sz w:val="24"/>
                <w:szCs w:val="24"/>
                <w:lang w:val="en-US"/>
              </w:rPr>
              <w:t>165</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Форм-фактор совместимых материнских плат</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 xml:space="preserve">ATX, </w:t>
            </w:r>
            <w:proofErr w:type="spellStart"/>
            <w:r w:rsidRPr="00195799">
              <w:rPr>
                <w:bCs/>
                <w:sz w:val="24"/>
                <w:szCs w:val="24"/>
              </w:rPr>
              <w:t>mATX</w:t>
            </w:r>
            <w:proofErr w:type="spellEnd"/>
            <w:r w:rsidRPr="00195799">
              <w:rPr>
                <w:bCs/>
                <w:sz w:val="24"/>
                <w:szCs w:val="24"/>
              </w:rPr>
              <w:t xml:space="preserve">, </w:t>
            </w:r>
            <w:proofErr w:type="spellStart"/>
            <w:r w:rsidRPr="00195799">
              <w:rPr>
                <w:bCs/>
                <w:sz w:val="24"/>
                <w:szCs w:val="24"/>
              </w:rPr>
              <w:t>mini</w:t>
            </w:r>
            <w:proofErr w:type="spellEnd"/>
            <w:r w:rsidRPr="00195799">
              <w:rPr>
                <w:bCs/>
                <w:sz w:val="24"/>
                <w:szCs w:val="24"/>
              </w:rPr>
              <w:t>-ITX</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Фронтальные разъемы USB 3.0 на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lang w:val="en-US"/>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Фронтальные аудио-разъемы на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Цвет материала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Черный</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Толщина стенок корпуса,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0,6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Расположение БП в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Нижнее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Типоразмер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proofErr w:type="spellStart"/>
            <w:r w:rsidRPr="00195799">
              <w:rPr>
                <w:bCs/>
                <w:sz w:val="24"/>
                <w:szCs w:val="24"/>
              </w:rPr>
              <w:t>Midi-Tower</w:t>
            </w:r>
            <w:proofErr w:type="spellEnd"/>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Форм-фактор материнской платы в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ATX</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Внутренние отсеки в корпусе 2,5" </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Внутренние отсеки в корпусе 3,5"(без использования переходника с 3,5"):</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Количество слотов расширения в корпусе</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7</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Максимальная длина видеокарты в корпусе,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410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Вентиляторы на задней панели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Размер тыловых вентиляторов корпуса,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120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Вентиляторы на боковой панели корпуса</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Размер боковых вентиляторов корпуса, 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120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Возможность установки доп. вентиляторов на верхней панели корпуса 120мм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Возможность установки доп. вентиляторов на нижней панели корпуса 120мм</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Фронтальные разъемы USB 3.1 </w:t>
            </w:r>
            <w:proofErr w:type="spellStart"/>
            <w:r w:rsidRPr="00195799">
              <w:rPr>
                <w:bCs/>
                <w:sz w:val="24"/>
                <w:szCs w:val="24"/>
              </w:rPr>
              <w:t>Type</w:t>
            </w:r>
            <w:proofErr w:type="spellEnd"/>
            <w:r w:rsidRPr="00195799">
              <w:rPr>
                <w:bCs/>
                <w:sz w:val="24"/>
                <w:szCs w:val="24"/>
              </w:rPr>
              <w:t>-C</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Кол-во ядер процессора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Кол-во потоков процессора:</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Базовая частота процессора,</w:t>
            </w:r>
            <w:r w:rsidRPr="00195799">
              <w:rPr>
                <w:bCs/>
                <w:sz w:val="24"/>
                <w:szCs w:val="24"/>
                <w:lang w:val="en-US"/>
              </w:rPr>
              <w:t xml:space="preserve"> </w:t>
            </w:r>
            <w:proofErr w:type="spellStart"/>
            <w:r w:rsidRPr="00195799">
              <w:rPr>
                <w:bCs/>
                <w:sz w:val="24"/>
                <w:szCs w:val="24"/>
              </w:rPr>
              <w:t>Ггц</w:t>
            </w:r>
            <w:proofErr w:type="spellEnd"/>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3,9</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Максимальная частота в турбо режиме, </w:t>
            </w:r>
            <w:proofErr w:type="spellStart"/>
            <w:r w:rsidRPr="00195799">
              <w:rPr>
                <w:bCs/>
                <w:sz w:val="24"/>
                <w:szCs w:val="24"/>
              </w:rPr>
              <w:t>Ггц</w:t>
            </w:r>
            <w:proofErr w:type="spellEnd"/>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5,5</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Базовая частота </w:t>
            </w:r>
            <w:proofErr w:type="spellStart"/>
            <w:r w:rsidRPr="00195799">
              <w:rPr>
                <w:bCs/>
                <w:sz w:val="24"/>
                <w:szCs w:val="24"/>
              </w:rPr>
              <w:t>энергоэффективных</w:t>
            </w:r>
            <w:proofErr w:type="spellEnd"/>
            <w:r w:rsidRPr="00195799">
              <w:rPr>
                <w:bCs/>
                <w:sz w:val="24"/>
                <w:szCs w:val="24"/>
              </w:rPr>
              <w:t xml:space="preserve"> ядер, </w:t>
            </w:r>
            <w:proofErr w:type="spellStart"/>
            <w:r w:rsidRPr="00195799">
              <w:rPr>
                <w:bCs/>
                <w:sz w:val="24"/>
                <w:szCs w:val="24"/>
              </w:rPr>
              <w:t>Ггц</w:t>
            </w:r>
            <w:proofErr w:type="spellEnd"/>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3,3</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Частота в турбо режиме </w:t>
            </w:r>
            <w:proofErr w:type="spellStart"/>
            <w:r w:rsidRPr="00195799">
              <w:rPr>
                <w:bCs/>
                <w:sz w:val="24"/>
                <w:szCs w:val="24"/>
              </w:rPr>
              <w:t>энергоэффективных</w:t>
            </w:r>
            <w:proofErr w:type="spellEnd"/>
            <w:r w:rsidRPr="00195799">
              <w:rPr>
                <w:bCs/>
                <w:sz w:val="24"/>
                <w:szCs w:val="24"/>
              </w:rPr>
              <w:t xml:space="preserve"> ядер, </w:t>
            </w:r>
            <w:proofErr w:type="spellStart"/>
            <w:r w:rsidRPr="00195799">
              <w:rPr>
                <w:bCs/>
                <w:sz w:val="24"/>
                <w:szCs w:val="24"/>
              </w:rPr>
              <w:t>Ггц</w:t>
            </w:r>
            <w:proofErr w:type="spellEnd"/>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lang w:val="en-US"/>
              </w:rPr>
            </w:pPr>
            <w:r w:rsidRPr="00195799">
              <w:rPr>
                <w:bCs/>
                <w:sz w:val="24"/>
                <w:szCs w:val="24"/>
              </w:rPr>
              <w:t>4,6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Объем кэша L2,</w:t>
            </w:r>
            <w:r w:rsidRPr="00195799">
              <w:rPr>
                <w:bCs/>
                <w:sz w:val="24"/>
                <w:szCs w:val="24"/>
                <w:lang w:val="en-US"/>
              </w:rPr>
              <w:t xml:space="preserve"> </w:t>
            </w:r>
            <w:r w:rsidRPr="00195799">
              <w:rPr>
                <w:bCs/>
                <w:sz w:val="24"/>
                <w:szCs w:val="24"/>
              </w:rPr>
              <w:t>Мб</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Объем кэша L3,</w:t>
            </w:r>
            <w:r w:rsidRPr="00195799">
              <w:rPr>
                <w:bCs/>
                <w:sz w:val="24"/>
                <w:szCs w:val="24"/>
                <w:lang w:val="en-US"/>
              </w:rPr>
              <w:t xml:space="preserve"> </w:t>
            </w:r>
            <w:r w:rsidRPr="00195799">
              <w:rPr>
                <w:bCs/>
                <w:sz w:val="24"/>
                <w:szCs w:val="24"/>
              </w:rPr>
              <w:t>Мб</w:t>
            </w:r>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Встроенный контроллер PCI </w:t>
            </w:r>
            <w:proofErr w:type="spellStart"/>
            <w:r w:rsidRPr="00195799">
              <w:rPr>
                <w:bCs/>
                <w:sz w:val="24"/>
                <w:szCs w:val="24"/>
              </w:rPr>
              <w:t>Express</w:t>
            </w:r>
            <w:proofErr w:type="spellEnd"/>
          </w:p>
        </w:tc>
        <w:tc>
          <w:tcPr>
            <w:tcW w:w="2268" w:type="dxa"/>
            <w:shd w:val="clear" w:color="auto" w:fill="FFFFFF"/>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proofErr w:type="spellStart"/>
            <w:r w:rsidRPr="00195799">
              <w:rPr>
                <w:bCs/>
                <w:sz w:val="24"/>
                <w:szCs w:val="24"/>
              </w:rPr>
              <w:t>PCIe</w:t>
            </w:r>
            <w:proofErr w:type="spellEnd"/>
            <w:r w:rsidRPr="00195799">
              <w:rPr>
                <w:bCs/>
                <w:sz w:val="24"/>
                <w:szCs w:val="24"/>
              </w:rPr>
              <w:t xml:space="preserve"> 5.0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Поддержка памяти процессором, Гб:</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256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HDMI портов материнской платы,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DP портов материнской платы,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Максимальный объем памяти материнской платы, Гб:</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256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Разъемы памяти материнской платы,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4</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Чипсет материнской платы:</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Z890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слотов M.2 PCI-e,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4</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портов USB 2.0 TYPE-A на задней панели,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4</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портов USB 3.2 GEN1 TYPE-A на задней панели,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портов USB 3.2 GEN2 TYPE-A на задней панели,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портов USB 3.2 GEN2 TYPE-C на задней панели,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Количество сетевых контроллеров 8P8C (RJ-45) 2.5GB ETHERNET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PCI-Ex16 слотов,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4</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Количество накопителей тип 1:</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Объем памяти накопителя тип 1, ГБ:</w:t>
            </w:r>
          </w:p>
        </w:tc>
        <w:tc>
          <w:tcPr>
            <w:tcW w:w="2268" w:type="dxa"/>
            <w:noWrap/>
            <w:tcMar>
              <w:top w:w="0" w:type="dxa"/>
              <w:left w:w="108" w:type="dxa"/>
              <w:bottom w:w="0" w:type="dxa"/>
              <w:right w:w="108" w:type="dxa"/>
            </w:tcMar>
            <w:vAlign w:val="center"/>
            <w:hideMark/>
          </w:tcPr>
          <w:p w:rsidR="00112BE2" w:rsidRPr="00195799" w:rsidRDefault="000600CD" w:rsidP="0059364A">
            <w:pPr>
              <w:ind w:firstLine="61"/>
              <w:jc w:val="both"/>
              <w:rPr>
                <w:bCs/>
                <w:sz w:val="24"/>
                <w:szCs w:val="24"/>
              </w:rPr>
            </w:pPr>
            <w:r w:rsidRPr="00195799">
              <w:rPr>
                <w:bCs/>
                <w:sz w:val="24"/>
                <w:szCs w:val="24"/>
              </w:rPr>
              <w:t>1</w:t>
            </w:r>
            <w:r w:rsidR="00112BE2" w:rsidRPr="00195799">
              <w:rPr>
                <w:bCs/>
                <w:sz w:val="24"/>
                <w:szCs w:val="24"/>
              </w:rPr>
              <w:t>000</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Форм фактор накопителя тип 1:</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 xml:space="preserve">SSD M.2 </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Тип интерфейса накопителя тип 1:</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PCIE</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Количество накопителей тип 2:</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Объем памяти накопителя тип 2, ГБ:</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2000</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Форм фактор накопителя тип 2:</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HDD 3.5</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Тип интерфейса накопителя тип 2:</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SATA III</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Скорость шпинделя накопителя тип1, об\мин:</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5400</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Общий объем оперативной памяти, ГБ:</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64</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Объем одного модуля оперативной памяти, ГБ:</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32</w:t>
            </w:r>
          </w:p>
        </w:tc>
      </w:tr>
      <w:tr w:rsidR="00112BE2" w:rsidRPr="00195799" w:rsidTr="0059364A">
        <w:trPr>
          <w:gridAfter w:val="1"/>
          <w:wAfter w:w="7" w:type="dxa"/>
          <w:trHeight w:val="20"/>
        </w:trPr>
        <w:tc>
          <w:tcPr>
            <w:tcW w:w="705" w:type="dxa"/>
            <w:shd w:val="clear" w:color="auto" w:fill="FFFFFF"/>
            <w:noWrap/>
            <w:tcMar>
              <w:top w:w="0" w:type="dxa"/>
              <w:left w:w="108" w:type="dxa"/>
              <w:bottom w:w="0" w:type="dxa"/>
              <w:right w:w="108" w:type="dxa"/>
            </w:tcMar>
            <w:vAlign w:val="bottom"/>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Кол-во установленных модулей оперативной памяти:</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Поколение оперативной памяти:</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DDR5</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Форм-фактор оперативной памяти:</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DIMM</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Количество портов USB 3.0 TYPE-A на передней панели, </w:t>
            </w:r>
            <w:proofErr w:type="spellStart"/>
            <w:r w:rsidRPr="00195799">
              <w:rPr>
                <w:bCs/>
                <w:sz w:val="24"/>
                <w:szCs w:val="24"/>
              </w:rPr>
              <w:t>шт</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Мощность блока питания:</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850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Блок питания сертифицирован в стандарте:</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GOLD</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Дискретная видеокарта в составе:</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Объем памяти дискретной видеокарты, </w:t>
            </w:r>
            <w:proofErr w:type="spellStart"/>
            <w:r w:rsidRPr="00195799">
              <w:rPr>
                <w:bCs/>
                <w:sz w:val="24"/>
                <w:szCs w:val="24"/>
              </w:rPr>
              <w:t>мб</w:t>
            </w:r>
            <w:proofErr w:type="spellEnd"/>
            <w:r w:rsidRPr="00195799">
              <w:rPr>
                <w:bCs/>
                <w:sz w:val="24"/>
                <w:szCs w:val="24"/>
              </w:rPr>
              <w:t>:</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16</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Тип видеопамяти дискретной видеокарты:</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GDDR7</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Разрядность шины видеокарты, биты:</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128</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Количество видеовыходов HDMI дискретной видеокарты:</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1</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Количество видеовыходов DP дискретной видеокарты:</w:t>
            </w:r>
          </w:p>
        </w:tc>
        <w:tc>
          <w:tcPr>
            <w:tcW w:w="2268" w:type="dxa"/>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3</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Монитор диагональю не менее 32 дюйма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Количество мониторов в комплекте поставки</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Цвет корпуса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Черный</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Покрытие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матовое/антибликовое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Стандарт разрешения экрана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proofErr w:type="spellStart"/>
            <w:r w:rsidRPr="00195799">
              <w:rPr>
                <w:bCs/>
                <w:sz w:val="24"/>
                <w:szCs w:val="24"/>
              </w:rPr>
              <w:t>Quad</w:t>
            </w:r>
            <w:proofErr w:type="spellEnd"/>
            <w:r w:rsidRPr="00195799">
              <w:rPr>
                <w:bCs/>
                <w:sz w:val="24"/>
                <w:szCs w:val="24"/>
              </w:rPr>
              <w:t xml:space="preserve"> HD 2K 2560 x 1440 при 100 Гц</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Яркость экрана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350</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Соотношение сторон экрана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16:9</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Мощность акустической системы монитора, Вт:</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2х2.5</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Интерфейсы подключения монитора: </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 xml:space="preserve">HDMI x1 (v.2.0) </w:t>
            </w:r>
            <w:proofErr w:type="spellStart"/>
            <w:r w:rsidRPr="00195799">
              <w:rPr>
                <w:bCs/>
                <w:sz w:val="24"/>
                <w:szCs w:val="24"/>
              </w:rPr>
              <w:t>DisplayPort</w:t>
            </w:r>
            <w:proofErr w:type="spellEnd"/>
            <w:r w:rsidRPr="00195799">
              <w:rPr>
                <w:bCs/>
                <w:sz w:val="24"/>
                <w:szCs w:val="24"/>
              </w:rPr>
              <w:t xml:space="preserve"> x1 (v.1.4) USB-C x2(</w:t>
            </w:r>
            <w:r w:rsidRPr="00195799">
              <w:rPr>
                <w:bCs/>
                <w:sz w:val="24"/>
                <w:szCs w:val="24"/>
                <w:lang w:val="en-US"/>
              </w:rPr>
              <w:t>v</w:t>
            </w:r>
            <w:r w:rsidRPr="00195799">
              <w:rPr>
                <w:bCs/>
                <w:sz w:val="24"/>
                <w:szCs w:val="24"/>
              </w:rPr>
              <w:t xml:space="preserve">.3.0), USB-А x2 (v.3.0) </w:t>
            </w:r>
            <w:proofErr w:type="spellStart"/>
            <w:r w:rsidRPr="00195799">
              <w:rPr>
                <w:bCs/>
                <w:sz w:val="24"/>
                <w:szCs w:val="24"/>
              </w:rPr>
              <w:t>Ethernet</w:t>
            </w:r>
            <w:proofErr w:type="spellEnd"/>
            <w:r w:rsidRPr="00195799">
              <w:rPr>
                <w:bCs/>
                <w:sz w:val="24"/>
                <w:szCs w:val="24"/>
              </w:rPr>
              <w:t>, выход на наушники (Вертикальное расположение всех разъёмов)</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Дополнительные функции/режимы монитора:</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KVM-модуль, защита зрения, поддержка HDCP</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Регулировка монитора наклона/по высоте</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Комплект Клавиатура + Мышь</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Цвет корпуса клавиатуры и мыши</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Черный</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Тип соединения клавиатуры и мыши</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Проводной</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Интерфейс подключения клавиатуры и мыши</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lang w:val="en-US"/>
              </w:rPr>
            </w:pPr>
            <w:r w:rsidRPr="00195799">
              <w:rPr>
                <w:bCs/>
                <w:sz w:val="24"/>
                <w:szCs w:val="24"/>
                <w:lang w:val="en-US"/>
              </w:rPr>
              <w:t>USB</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Дизайн</w:t>
            </w:r>
            <w:r w:rsidRPr="00195799">
              <w:rPr>
                <w:bCs/>
                <w:sz w:val="24"/>
                <w:szCs w:val="24"/>
                <w:lang w:val="en-US"/>
              </w:rPr>
              <w:t xml:space="preserve"> </w:t>
            </w:r>
            <w:r w:rsidRPr="00195799">
              <w:rPr>
                <w:bCs/>
                <w:sz w:val="24"/>
                <w:szCs w:val="24"/>
              </w:rPr>
              <w:t>клавиш</w:t>
            </w:r>
            <w:r w:rsidRPr="00195799">
              <w:rPr>
                <w:bCs/>
                <w:sz w:val="24"/>
                <w:szCs w:val="24"/>
                <w:lang w:val="en-US"/>
              </w:rPr>
              <w:t xml:space="preserve"> </w:t>
            </w:r>
            <w:r w:rsidRPr="00195799">
              <w:rPr>
                <w:bCs/>
                <w:sz w:val="24"/>
                <w:szCs w:val="24"/>
              </w:rPr>
              <w:t>клавиатуры</w:t>
            </w:r>
          </w:p>
        </w:tc>
        <w:tc>
          <w:tcPr>
            <w:tcW w:w="2268" w:type="dxa"/>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Квадратные</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Тип нанесения кириллицы на клавиши</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Гравировка</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Цвет русских букв клавиатуры</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Белый</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Цвет английских букв клавиатуры</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Белый</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Защита от попадания жидкостей клавиатуры</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Тип мыши</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Оптическая</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lang w:val="en-US"/>
              </w:rPr>
            </w:pPr>
            <w:r w:rsidRPr="00195799">
              <w:rPr>
                <w:bCs/>
                <w:sz w:val="24"/>
                <w:szCs w:val="24"/>
              </w:rPr>
              <w:t xml:space="preserve">Разрешение сенсора, </w:t>
            </w:r>
            <w:r w:rsidRPr="00195799">
              <w:rPr>
                <w:bCs/>
                <w:sz w:val="24"/>
                <w:szCs w:val="24"/>
                <w:lang w:val="en-US"/>
              </w:rPr>
              <w:t>dpi</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lang w:val="en-US"/>
              </w:rPr>
              <w:t>1000</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Количество кнопок</w:t>
            </w:r>
            <w:r w:rsidRPr="00195799">
              <w:rPr>
                <w:bCs/>
                <w:sz w:val="24"/>
                <w:szCs w:val="24"/>
                <w:lang w:val="en-US"/>
              </w:rPr>
              <w:t xml:space="preserve"> </w:t>
            </w:r>
            <w:r w:rsidRPr="00195799">
              <w:rPr>
                <w:bCs/>
                <w:sz w:val="24"/>
                <w:szCs w:val="24"/>
              </w:rPr>
              <w:t>мыши</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lang w:val="en-US"/>
              </w:rPr>
            </w:pPr>
            <w:r w:rsidRPr="00195799">
              <w:rPr>
                <w:bCs/>
                <w:sz w:val="24"/>
                <w:szCs w:val="24"/>
                <w:lang w:val="en-US"/>
              </w:rPr>
              <w:t>2</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Колесо прокрутки</w:t>
            </w:r>
            <w:r w:rsidRPr="00195799">
              <w:rPr>
                <w:bCs/>
                <w:sz w:val="24"/>
                <w:szCs w:val="24"/>
                <w:lang w:val="en-US"/>
              </w:rPr>
              <w:t xml:space="preserve"> </w:t>
            </w:r>
            <w:r w:rsidRPr="00195799">
              <w:rPr>
                <w:bCs/>
                <w:sz w:val="24"/>
                <w:szCs w:val="24"/>
              </w:rPr>
              <w:t>мыши</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tcPr>
          <w:p w:rsidR="00112BE2" w:rsidRPr="00195799" w:rsidRDefault="00112BE2" w:rsidP="0059364A">
            <w:pPr>
              <w:ind w:firstLine="39"/>
              <w:jc w:val="both"/>
              <w:rPr>
                <w:bCs/>
                <w:sz w:val="24"/>
                <w:szCs w:val="24"/>
              </w:rPr>
            </w:pPr>
            <w:r w:rsidRPr="00195799">
              <w:rPr>
                <w:bCs/>
                <w:sz w:val="24"/>
                <w:szCs w:val="24"/>
              </w:rPr>
              <w:t xml:space="preserve">Предустановленная операционная система </w:t>
            </w:r>
            <w:r w:rsidRPr="00195799">
              <w:rPr>
                <w:bCs/>
                <w:sz w:val="24"/>
                <w:szCs w:val="24"/>
                <w:lang w:val="en-US"/>
              </w:rPr>
              <w:t>Microsoft</w:t>
            </w:r>
            <w:r w:rsidRPr="00195799">
              <w:rPr>
                <w:bCs/>
                <w:sz w:val="24"/>
                <w:szCs w:val="24"/>
              </w:rPr>
              <w:t xml:space="preserve"> </w:t>
            </w:r>
            <w:r w:rsidRPr="00195799">
              <w:rPr>
                <w:bCs/>
                <w:sz w:val="24"/>
                <w:szCs w:val="24"/>
                <w:lang w:val="en-US"/>
              </w:rPr>
              <w:t>Windows</w:t>
            </w:r>
            <w:r w:rsidRPr="00195799">
              <w:rPr>
                <w:bCs/>
                <w:sz w:val="24"/>
                <w:szCs w:val="24"/>
              </w:rPr>
              <w:t xml:space="preserve"> 11 </w:t>
            </w:r>
            <w:r w:rsidRPr="00195799">
              <w:rPr>
                <w:bCs/>
                <w:sz w:val="24"/>
                <w:szCs w:val="24"/>
                <w:lang w:val="en-US"/>
              </w:rPr>
              <w:t>Pro</w:t>
            </w:r>
            <w:r w:rsidRPr="00195799">
              <w:rPr>
                <w:bCs/>
                <w:sz w:val="24"/>
                <w:szCs w:val="24"/>
              </w:rPr>
              <w:t xml:space="preserve"> 64</w:t>
            </w:r>
            <w:r w:rsidRPr="00195799">
              <w:rPr>
                <w:bCs/>
                <w:sz w:val="24"/>
                <w:szCs w:val="24"/>
                <w:lang w:val="en-US"/>
              </w:rPr>
              <w:t>bit</w:t>
            </w:r>
          </w:p>
        </w:tc>
        <w:tc>
          <w:tcPr>
            <w:tcW w:w="2275" w:type="dxa"/>
            <w:gridSpan w:val="2"/>
            <w:noWrap/>
            <w:tcMar>
              <w:top w:w="0" w:type="dxa"/>
              <w:left w:w="108" w:type="dxa"/>
              <w:bottom w:w="0" w:type="dxa"/>
              <w:right w:w="108" w:type="dxa"/>
            </w:tcMar>
            <w:vAlign w:val="center"/>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Модуль контроля и регистрации контролируемых параметров функционирования ЭВМ: </w:t>
            </w:r>
          </w:p>
        </w:tc>
        <w:tc>
          <w:tcPr>
            <w:tcW w:w="2275" w:type="dxa"/>
            <w:gridSpan w:val="2"/>
            <w:shd w:val="clear" w:color="auto" w:fill="FFFFFF"/>
            <w:noWrap/>
            <w:tcMar>
              <w:top w:w="0" w:type="dxa"/>
              <w:left w:w="108" w:type="dxa"/>
              <w:bottom w:w="0" w:type="dxa"/>
              <w:right w:w="108" w:type="dxa"/>
            </w:tcMar>
            <w:vAlign w:val="bottom"/>
            <w:hideMark/>
          </w:tcPr>
          <w:p w:rsidR="00112BE2" w:rsidRPr="00195799" w:rsidRDefault="00112BE2" w:rsidP="0059364A">
            <w:pPr>
              <w:ind w:firstLine="61"/>
              <w:jc w:val="both"/>
              <w:rPr>
                <w:bCs/>
                <w:sz w:val="24"/>
                <w:szCs w:val="24"/>
              </w:rPr>
            </w:pPr>
            <w:r w:rsidRPr="00195799">
              <w:rPr>
                <w:bCs/>
                <w:sz w:val="24"/>
                <w:szCs w:val="24"/>
              </w:rPr>
              <w:t> </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1) Контроль температуры внутренней среды корпуса ЭВМ:</w:t>
            </w:r>
          </w:p>
        </w:tc>
        <w:tc>
          <w:tcPr>
            <w:tcW w:w="2275" w:type="dxa"/>
            <w:gridSpan w:val="2"/>
            <w:shd w:val="clear" w:color="auto" w:fill="FFFFFF"/>
            <w:noWrap/>
            <w:tcMar>
              <w:top w:w="0" w:type="dxa"/>
              <w:left w:w="108" w:type="dxa"/>
              <w:bottom w:w="0" w:type="dxa"/>
              <w:right w:w="108" w:type="dxa"/>
            </w:tcMar>
            <w:vAlign w:val="center"/>
            <w:hideMark/>
          </w:tcPr>
          <w:p w:rsidR="00112BE2" w:rsidRPr="00195799" w:rsidRDefault="00112BE2" w:rsidP="0059364A">
            <w:pPr>
              <w:ind w:firstLine="61"/>
              <w:jc w:val="both"/>
              <w:rPr>
                <w:bCs/>
                <w:sz w:val="24"/>
                <w:szCs w:val="24"/>
              </w:rPr>
            </w:pPr>
            <w:r w:rsidRPr="00195799">
              <w:rPr>
                <w:bCs/>
                <w:sz w:val="24"/>
                <w:szCs w:val="24"/>
              </w:rPr>
              <w:t>Наличие</w:t>
            </w:r>
          </w:p>
        </w:tc>
      </w:tr>
      <w:tr w:rsidR="00112BE2" w:rsidRPr="00195799" w:rsidTr="0059364A">
        <w:trPr>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Аналоговый датчик температуры: </w:t>
            </w:r>
          </w:p>
        </w:tc>
        <w:tc>
          <w:tcPr>
            <w:tcW w:w="2275" w:type="dxa"/>
            <w:gridSpan w:val="2"/>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Рабочий диапазон температуры датчика, С:</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43"/>
              <w:jc w:val="both"/>
              <w:rPr>
                <w:bCs/>
                <w:sz w:val="24"/>
                <w:szCs w:val="24"/>
              </w:rPr>
            </w:pPr>
            <w:r w:rsidRPr="00195799">
              <w:rPr>
                <w:bCs/>
                <w:sz w:val="24"/>
                <w:szCs w:val="24"/>
              </w:rPr>
              <w:t>-40° до +125 </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Установка аварийного температурного порога: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Количество возможных аварийных температурных порогов:</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 2</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Установка предостерегающего температурного порога: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Количество возможных предостерегающих температурных порогов: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2 </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Отображение статуса датчика в ПО модуля: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Отправка уведомления по электронной почте в случае выхода температуры за обозначенные пороги: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Светодиодная индикация факта достижения аварийного температурного порога на лицевой панели ЭВМ: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Сброс показаний термодатчика: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2) Контроль вскрытия корпуса ЭВМ: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Фиксация состояния датчика вскрытия («Выключен», «Закрыт», «Открыт»):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Отправка уведомления по электронной почте в случае изменения состояния датчика вскрытия: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0" w:firstLine="26"/>
              <w:jc w:val="both"/>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Фиксация факта вскрытия в съемной энергонезависимой памяти модуля: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 w:val="left" w:pos="464"/>
              </w:tabs>
              <w:ind w:left="39" w:firstLine="39"/>
              <w:jc w:val="both"/>
              <w:rPr>
                <w:bCs/>
                <w:sz w:val="24"/>
                <w:szCs w:val="24"/>
              </w:rPr>
            </w:pPr>
            <w:r w:rsidRPr="00195799">
              <w:rPr>
                <w:bCs/>
                <w:sz w:val="24"/>
                <w:szCs w:val="24"/>
              </w:rPr>
              <w:t xml:space="preserve">∙ Принудительная перезагрузка ЭВМ при несанкционированном вскрытии корпуса ЭВМ: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3) Контроль запыленности внутренней среды ЭВМ: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Оптический фото датчик с заводской калибровкой под поставляемый ЭВМ: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Установка критического порога запыленности ЭВМ: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39"/>
              <w:jc w:val="both"/>
              <w:rPr>
                <w:bCs/>
                <w:sz w:val="24"/>
                <w:szCs w:val="24"/>
              </w:rPr>
            </w:pPr>
            <w:r w:rsidRPr="00195799">
              <w:rPr>
                <w:bCs/>
                <w:sz w:val="24"/>
                <w:szCs w:val="24"/>
              </w:rPr>
              <w:t xml:space="preserve">∙ Отображение статуса датчика в ПО модуля: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Отправка уведомления по электронной почте в случае достижения критического порога запыленности: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Светодиодная индикация факта достижения критической запыленности ЭВМ на лицевой панели ЭВМ: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Принудительный сброс показаний датчика запыленности: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4) Фиксация удара ЭВМ: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Фиксация состояния датчика удара («Выключен», «Нормальное», «Удар»):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Отправка уведомления по электронной почте в случае достижения порогового значения «удар»: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9"/>
              <w:jc w:val="both"/>
              <w:rPr>
                <w:bCs/>
                <w:sz w:val="24"/>
                <w:szCs w:val="24"/>
              </w:rPr>
            </w:pPr>
            <w:r w:rsidRPr="00195799">
              <w:rPr>
                <w:bCs/>
                <w:sz w:val="24"/>
                <w:szCs w:val="24"/>
              </w:rPr>
              <w:t xml:space="preserve">∙ Принудительный сброс показаний датчика удара: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5)</w:t>
            </w:r>
            <w:r w:rsidR="00853269" w:rsidRPr="00195799">
              <w:rPr>
                <w:bCs/>
                <w:sz w:val="24"/>
                <w:szCs w:val="24"/>
              </w:rPr>
              <w:t xml:space="preserve"> </w:t>
            </w:r>
            <w:r w:rsidRPr="00195799">
              <w:rPr>
                <w:bCs/>
                <w:sz w:val="24"/>
                <w:szCs w:val="24"/>
              </w:rPr>
              <w:t xml:space="preserve">Контроль функционирования системы (WATCHDOG):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 Возможность включения или выключения функции в ПО: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Установка интервала сторожевого таймера:</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 Принудительная перезагрузка ЭВМ в случае зависания системы: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6) Принудительная перезагрузка ЭВМ по команде оператора через управляющее ПО: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7) Считывание идентификатора ЭВМ для идентификации ЭВМ в управляющем ПО и извещениях по электронной почте: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8)  Отправка уведомления управляющим ПО </w:t>
            </w:r>
            <w:proofErr w:type="spellStart"/>
            <w:r w:rsidRPr="00195799">
              <w:rPr>
                <w:bCs/>
                <w:sz w:val="24"/>
                <w:szCs w:val="24"/>
              </w:rPr>
              <w:t>по</w:t>
            </w:r>
            <w:proofErr w:type="spellEnd"/>
            <w:r w:rsidRPr="00195799">
              <w:rPr>
                <w:bCs/>
                <w:sz w:val="24"/>
                <w:szCs w:val="24"/>
              </w:rPr>
              <w:t xml:space="preserve"> электронной почте в случае недоступности аппаратного модуля: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9) Съемная энергонезависимая память модуля: </w:t>
            </w:r>
          </w:p>
        </w:tc>
        <w:tc>
          <w:tcPr>
            <w:tcW w:w="2268" w:type="dxa"/>
            <w:shd w:val="clear" w:color="auto" w:fill="FFFFFF"/>
            <w:noWrap/>
            <w:tcMar>
              <w:top w:w="0" w:type="dxa"/>
              <w:left w:w="108" w:type="dxa"/>
              <w:bottom w:w="0" w:type="dxa"/>
              <w:right w:w="108" w:type="dxa"/>
            </w:tcMar>
            <w:vAlign w:val="bottom"/>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 Возможность считывания журнала событий модуля в случае выхода из строя ЭВМ или самого модуля: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 Возможность фиксации и хранения не менее 10000 событий в энергонезависимой памяти: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tabs>
                <w:tab w:val="left" w:pos="322"/>
              </w:tabs>
              <w:ind w:firstLine="180"/>
              <w:jc w:val="both"/>
              <w:rPr>
                <w:bCs/>
                <w:sz w:val="24"/>
                <w:szCs w:val="24"/>
              </w:rPr>
            </w:pPr>
            <w:r w:rsidRPr="00195799">
              <w:rPr>
                <w:bCs/>
                <w:sz w:val="24"/>
                <w:szCs w:val="24"/>
              </w:rPr>
              <w:t xml:space="preserve">∙Возможность выгрузки журнала событий в локальный файл на ЭВМ: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10) Модуль имеет независимый счетчик времени работы ЭВМ: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 xml:space="preserve">∙ Считывание показаний таймера общего времени работы с точностью не менее 1 минуты: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r w:rsidR="00112BE2" w:rsidRPr="00195799" w:rsidTr="0059364A">
        <w:trPr>
          <w:gridAfter w:val="1"/>
          <w:wAfter w:w="7" w:type="dxa"/>
          <w:trHeight w:val="20"/>
        </w:trPr>
        <w:tc>
          <w:tcPr>
            <w:tcW w:w="705" w:type="dxa"/>
            <w:shd w:val="clear" w:color="auto" w:fill="FFFFFF"/>
            <w:tcMar>
              <w:top w:w="0" w:type="dxa"/>
              <w:left w:w="108" w:type="dxa"/>
              <w:bottom w:w="0" w:type="dxa"/>
              <w:right w:w="108" w:type="dxa"/>
            </w:tcMar>
            <w:vAlign w:val="center"/>
          </w:tcPr>
          <w:p w:rsidR="00112BE2" w:rsidRPr="00195799" w:rsidRDefault="00112BE2" w:rsidP="0059364A">
            <w:pPr>
              <w:numPr>
                <w:ilvl w:val="0"/>
                <w:numId w:val="27"/>
              </w:numPr>
              <w:ind w:left="-113" w:firstLine="142"/>
              <w:rPr>
                <w:bCs/>
                <w:sz w:val="24"/>
                <w:szCs w:val="24"/>
              </w:rPr>
            </w:pPr>
          </w:p>
        </w:tc>
        <w:tc>
          <w:tcPr>
            <w:tcW w:w="6950" w:type="dxa"/>
            <w:shd w:val="clear" w:color="auto" w:fill="FFFFFF"/>
            <w:noWrap/>
            <w:tcMar>
              <w:top w:w="0" w:type="dxa"/>
              <w:left w:w="108" w:type="dxa"/>
              <w:bottom w:w="0" w:type="dxa"/>
              <w:right w:w="108" w:type="dxa"/>
            </w:tcMar>
            <w:vAlign w:val="center"/>
            <w:hideMark/>
          </w:tcPr>
          <w:p w:rsidR="00112BE2" w:rsidRPr="00195799" w:rsidRDefault="00112BE2" w:rsidP="0059364A">
            <w:pPr>
              <w:ind w:firstLine="180"/>
              <w:jc w:val="both"/>
              <w:rPr>
                <w:bCs/>
                <w:sz w:val="24"/>
                <w:szCs w:val="24"/>
              </w:rPr>
            </w:pPr>
            <w:r w:rsidRPr="00195799">
              <w:rPr>
                <w:bCs/>
                <w:sz w:val="24"/>
                <w:szCs w:val="24"/>
              </w:rPr>
              <w:t>∙</w:t>
            </w:r>
            <w:r w:rsidR="00162465" w:rsidRPr="00195799">
              <w:rPr>
                <w:bCs/>
                <w:sz w:val="24"/>
                <w:szCs w:val="24"/>
              </w:rPr>
              <w:t xml:space="preserve"> </w:t>
            </w:r>
            <w:r w:rsidRPr="00195799">
              <w:rPr>
                <w:bCs/>
                <w:sz w:val="24"/>
                <w:szCs w:val="24"/>
              </w:rPr>
              <w:t xml:space="preserve">Фиксация времени работы ЭВМ в энергонезависимую память: </w:t>
            </w:r>
          </w:p>
        </w:tc>
        <w:tc>
          <w:tcPr>
            <w:tcW w:w="2268" w:type="dxa"/>
            <w:shd w:val="clear" w:color="auto" w:fill="FFFFFF"/>
            <w:noWrap/>
            <w:tcMar>
              <w:top w:w="0" w:type="dxa"/>
              <w:left w:w="108" w:type="dxa"/>
              <w:bottom w:w="0" w:type="dxa"/>
              <w:right w:w="108" w:type="dxa"/>
            </w:tcMar>
            <w:vAlign w:val="center"/>
            <w:hideMark/>
          </w:tcPr>
          <w:p w:rsidR="00112BE2" w:rsidRPr="00195799" w:rsidRDefault="00112BE2" w:rsidP="0059364A">
            <w:pPr>
              <w:ind w:firstLine="36"/>
              <w:jc w:val="both"/>
              <w:rPr>
                <w:bCs/>
                <w:sz w:val="24"/>
                <w:szCs w:val="24"/>
              </w:rPr>
            </w:pPr>
            <w:r w:rsidRPr="00195799">
              <w:rPr>
                <w:bCs/>
                <w:sz w:val="24"/>
                <w:szCs w:val="24"/>
              </w:rPr>
              <w:t>Наличие</w:t>
            </w:r>
          </w:p>
        </w:tc>
      </w:tr>
    </w:tbl>
    <w:p w:rsidR="00112BE2" w:rsidRPr="00195799" w:rsidRDefault="00112BE2" w:rsidP="00112BE2">
      <w:pPr>
        <w:ind w:firstLine="709"/>
        <w:jc w:val="both"/>
        <w:rPr>
          <w:bCs/>
          <w:sz w:val="24"/>
          <w:szCs w:val="24"/>
        </w:rPr>
      </w:pPr>
    </w:p>
    <w:p w:rsidR="00112BE2" w:rsidRPr="00112BE2" w:rsidRDefault="00112BE2" w:rsidP="00112BE2">
      <w:pPr>
        <w:ind w:firstLine="709"/>
        <w:jc w:val="both"/>
        <w:rPr>
          <w:bCs/>
          <w:sz w:val="28"/>
          <w:szCs w:val="28"/>
        </w:rPr>
      </w:pPr>
      <w:r w:rsidRPr="00112BE2">
        <w:rPr>
          <w:bCs/>
          <w:sz w:val="28"/>
          <w:szCs w:val="28"/>
        </w:rPr>
        <w:t>Поставляемый Товар должен быть новым и надлежащего качества.  Год изготовления не ранее 2025.  Качество и комплектность поставленного Товара должны соответствовать стандартам, применяемым заводом-изготовителем. Комплект товара должен иметь все необходимые кабели для подключения в единое целое устройство.</w:t>
      </w:r>
    </w:p>
    <w:p w:rsidR="00112BE2" w:rsidRPr="00112BE2" w:rsidRDefault="00112BE2" w:rsidP="00112BE2">
      <w:pPr>
        <w:ind w:firstLine="709"/>
        <w:jc w:val="both"/>
        <w:rPr>
          <w:bCs/>
          <w:sz w:val="28"/>
          <w:szCs w:val="28"/>
        </w:rPr>
      </w:pPr>
      <w:r w:rsidRPr="00112BE2">
        <w:rPr>
          <w:bCs/>
          <w:sz w:val="28"/>
          <w:szCs w:val="28"/>
        </w:rPr>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112BE2" w:rsidRPr="00112BE2" w:rsidRDefault="00112BE2" w:rsidP="00112BE2">
      <w:pPr>
        <w:ind w:firstLine="709"/>
        <w:jc w:val="both"/>
        <w:rPr>
          <w:bCs/>
          <w:sz w:val="28"/>
          <w:szCs w:val="28"/>
        </w:rPr>
      </w:pPr>
      <w:r w:rsidRPr="00112BE2">
        <w:rPr>
          <w:bCs/>
          <w:sz w:val="28"/>
          <w:szCs w:val="28"/>
        </w:rPr>
        <w:t xml:space="preserve">Товар, поставляемый Победителем открытого аукциона 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 </w:t>
      </w:r>
    </w:p>
    <w:p w:rsidR="00112BE2" w:rsidRPr="00112BE2" w:rsidRDefault="00112BE2" w:rsidP="00112BE2">
      <w:pPr>
        <w:ind w:firstLine="709"/>
        <w:jc w:val="both"/>
        <w:rPr>
          <w:bCs/>
          <w:sz w:val="28"/>
          <w:szCs w:val="28"/>
        </w:rPr>
      </w:pPr>
      <w:r w:rsidRPr="00112BE2">
        <w:rPr>
          <w:bCs/>
          <w:sz w:val="28"/>
          <w:szCs w:val="28"/>
        </w:rPr>
        <w:t>Поставка товара осуществляется силами и за счет средств Победителя открытого аукциона.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112BE2" w:rsidRPr="00112BE2" w:rsidRDefault="00112BE2" w:rsidP="00112BE2">
      <w:pPr>
        <w:ind w:firstLine="709"/>
        <w:jc w:val="both"/>
        <w:rPr>
          <w:bCs/>
          <w:sz w:val="28"/>
          <w:szCs w:val="28"/>
        </w:rPr>
      </w:pPr>
      <w:r w:rsidRPr="00112BE2">
        <w:rPr>
          <w:bCs/>
          <w:sz w:val="28"/>
          <w:szCs w:val="28"/>
        </w:rPr>
        <w:t>Системный блок долж</w:t>
      </w:r>
      <w:r>
        <w:rPr>
          <w:bCs/>
          <w:sz w:val="28"/>
          <w:szCs w:val="28"/>
        </w:rPr>
        <w:t>е</w:t>
      </w:r>
      <w:r w:rsidRPr="00112BE2">
        <w:rPr>
          <w:bCs/>
          <w:sz w:val="28"/>
          <w:szCs w:val="28"/>
        </w:rPr>
        <w:t>н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Наличие у системного блока действующ</w:t>
      </w:r>
      <w:r w:rsidR="003331A8">
        <w:rPr>
          <w:bCs/>
          <w:sz w:val="28"/>
          <w:szCs w:val="28"/>
        </w:rPr>
        <w:t>его</w:t>
      </w:r>
      <w:r w:rsidRPr="00112BE2">
        <w:rPr>
          <w:bCs/>
          <w:sz w:val="28"/>
          <w:szCs w:val="28"/>
        </w:rPr>
        <w:t xml:space="preserve"> сертификат</w:t>
      </w:r>
      <w:r w:rsidR="003331A8">
        <w:rPr>
          <w:bCs/>
          <w:sz w:val="28"/>
          <w:szCs w:val="28"/>
        </w:rPr>
        <w:t>а</w:t>
      </w:r>
      <w:r w:rsidRPr="00112BE2">
        <w:rPr>
          <w:bCs/>
          <w:sz w:val="28"/>
          <w:szCs w:val="28"/>
        </w:rPr>
        <w:t xml:space="preserve"> соответствия требованиям: </w:t>
      </w:r>
      <w:hyperlink r:id="rId7" w:tooltip="&quot;ТР ТС 004/2011 Технический регламент Таможенного союза &quot;О безопасности низковольтного ...&quot;&#10;(утв. решением Комиссии Таможенного союза от 16.08.2011 N 768)&#10;Технический регламент ...&#10;Статус: Действующая редакция документа (действ. c 11.12.2022)" w:history="1">
        <w:r w:rsidRPr="00112BE2">
          <w:rPr>
            <w:rStyle w:val="af3"/>
            <w:bCs/>
            <w:sz w:val="28"/>
            <w:szCs w:val="28"/>
          </w:rPr>
          <w:t>ТР ТС 004/2011</w:t>
        </w:r>
      </w:hyperlink>
      <w:r w:rsidRPr="00112BE2">
        <w:rPr>
          <w:bCs/>
          <w:sz w:val="28"/>
          <w:szCs w:val="28"/>
        </w:rPr>
        <w:t xml:space="preserve"> «О безопасности низковольтного оборудования»; </w:t>
      </w:r>
      <w:hyperlink r:id="rId8" w:tooltip="&quot;ТР ТС 020/2011 Технический регламент Таможенного союза &quot;Электромагнитная совместимость ...&quot;&#10;(утв. решением Комиссии Таможенного союза от 09.12.2011 N 879)&#10;Технический регламент ...&#10;Статус: Действующая редакция документа (действ. c 11.12.2022)" w:history="1">
        <w:r w:rsidRPr="00112BE2">
          <w:rPr>
            <w:rStyle w:val="af3"/>
            <w:bCs/>
            <w:sz w:val="28"/>
            <w:szCs w:val="28"/>
          </w:rPr>
          <w:t>ТР ТС 020/2011</w:t>
        </w:r>
      </w:hyperlink>
      <w:r w:rsidRPr="00112BE2">
        <w:rPr>
          <w:bCs/>
          <w:sz w:val="28"/>
          <w:szCs w:val="28"/>
        </w:rPr>
        <w:t xml:space="preserve"> «Электромагнитная совместимость технических средств».</w:t>
      </w:r>
    </w:p>
    <w:p w:rsidR="00112BE2" w:rsidRPr="00A25133" w:rsidRDefault="00112BE2" w:rsidP="00112BE2">
      <w:pPr>
        <w:ind w:firstLine="709"/>
        <w:jc w:val="both"/>
        <w:rPr>
          <w:color w:val="000000"/>
          <w:sz w:val="22"/>
          <w:szCs w:val="22"/>
          <w:lang w:eastAsia="ar-SA"/>
        </w:rPr>
      </w:pPr>
    </w:p>
    <w:bookmarkEnd w:id="0"/>
    <w:bookmarkEnd w:id="1"/>
    <w:p w:rsidR="00A25133" w:rsidRPr="00A25133" w:rsidRDefault="00A25133" w:rsidP="00A25133">
      <w:pPr>
        <w:rPr>
          <w:sz w:val="12"/>
          <w:szCs w:val="12"/>
          <w:lang w:eastAsia="ar-SA"/>
        </w:rPr>
      </w:pPr>
    </w:p>
    <w:p w:rsidR="00CC0B94" w:rsidRPr="00CC0B94" w:rsidRDefault="00CC0B94" w:rsidP="009B54A1">
      <w:pPr>
        <w:ind w:firstLine="709"/>
        <w:jc w:val="both"/>
        <w:rPr>
          <w:bCs/>
          <w:sz w:val="28"/>
          <w:szCs w:val="28"/>
        </w:rPr>
      </w:pPr>
    </w:p>
    <w:p w:rsidR="00F46A58" w:rsidRPr="0074726E" w:rsidRDefault="00F46A58" w:rsidP="00F46A58">
      <w:pPr>
        <w:pStyle w:val="ac"/>
        <w:ind w:left="0"/>
        <w:jc w:val="both"/>
        <w:rPr>
          <w:color w:val="FFFFFF" w:themeColor="background1"/>
          <w:sz w:val="28"/>
          <w:szCs w:val="28"/>
        </w:rPr>
      </w:pPr>
      <w:bookmarkStart w:id="2" w:name="_GoBack"/>
      <w:r w:rsidRPr="0074726E">
        <w:rPr>
          <w:color w:val="FFFFFF" w:themeColor="background1"/>
          <w:sz w:val="28"/>
          <w:szCs w:val="28"/>
        </w:rPr>
        <w:t>Согласовано:</w:t>
      </w:r>
    </w:p>
    <w:p w:rsidR="009C20CF" w:rsidRPr="0074726E" w:rsidRDefault="009C20CF" w:rsidP="00F46A58">
      <w:pPr>
        <w:pStyle w:val="ac"/>
        <w:ind w:left="0"/>
        <w:jc w:val="both"/>
        <w:rPr>
          <w:color w:val="FFFFFF" w:themeColor="background1"/>
          <w:sz w:val="28"/>
          <w:szCs w:val="28"/>
        </w:rPr>
      </w:pPr>
    </w:p>
    <w:p w:rsidR="00F46A58" w:rsidRPr="0074726E" w:rsidRDefault="004C3B0A" w:rsidP="00F46A58">
      <w:pPr>
        <w:tabs>
          <w:tab w:val="left" w:pos="6860"/>
          <w:tab w:val="left" w:pos="7743"/>
        </w:tabs>
        <w:jc w:val="both"/>
        <w:rPr>
          <w:color w:val="FFFFFF" w:themeColor="background1"/>
          <w:sz w:val="28"/>
          <w:szCs w:val="28"/>
        </w:rPr>
      </w:pPr>
      <w:r w:rsidRPr="0074726E">
        <w:rPr>
          <w:color w:val="FFFFFF" w:themeColor="background1"/>
          <w:sz w:val="28"/>
          <w:szCs w:val="28"/>
        </w:rPr>
        <w:t>П</w:t>
      </w:r>
      <w:r w:rsidR="009B54A1" w:rsidRPr="0074726E">
        <w:rPr>
          <w:color w:val="FFFFFF" w:themeColor="background1"/>
          <w:sz w:val="28"/>
          <w:szCs w:val="28"/>
        </w:rPr>
        <w:t>редседател</w:t>
      </w:r>
      <w:r w:rsidRPr="0074726E">
        <w:rPr>
          <w:color w:val="FFFFFF" w:themeColor="background1"/>
          <w:sz w:val="28"/>
          <w:szCs w:val="28"/>
        </w:rPr>
        <w:t>ь</w:t>
      </w:r>
    </w:p>
    <w:p w:rsidR="00F46A58" w:rsidRPr="0074726E" w:rsidRDefault="00F46A58" w:rsidP="00F46A58">
      <w:pPr>
        <w:tabs>
          <w:tab w:val="left" w:pos="6860"/>
          <w:tab w:val="left" w:pos="7743"/>
        </w:tabs>
        <w:jc w:val="both"/>
        <w:rPr>
          <w:color w:val="FFFFFF" w:themeColor="background1"/>
          <w:sz w:val="28"/>
          <w:szCs w:val="28"/>
        </w:rPr>
      </w:pPr>
      <w:r w:rsidRPr="0074726E">
        <w:rPr>
          <w:color w:val="FFFFFF" w:themeColor="background1"/>
          <w:sz w:val="28"/>
          <w:szCs w:val="28"/>
        </w:rPr>
        <w:t xml:space="preserve">Экспертной группы                                                                                      </w:t>
      </w:r>
      <w:r w:rsidR="004C3B0A" w:rsidRPr="0074726E">
        <w:rPr>
          <w:color w:val="FFFFFF" w:themeColor="background1"/>
          <w:sz w:val="28"/>
          <w:szCs w:val="28"/>
        </w:rPr>
        <w:t>О.Н. Рубцова</w:t>
      </w:r>
    </w:p>
    <w:bookmarkEnd w:id="2"/>
    <w:p w:rsidR="00864265" w:rsidRPr="0074726E" w:rsidRDefault="00864265" w:rsidP="00F46A58">
      <w:pPr>
        <w:tabs>
          <w:tab w:val="left" w:pos="6860"/>
          <w:tab w:val="left" w:pos="7743"/>
        </w:tabs>
        <w:jc w:val="both"/>
        <w:rPr>
          <w:color w:val="FFFFFF" w:themeColor="background1"/>
          <w:sz w:val="28"/>
          <w:szCs w:val="28"/>
        </w:rPr>
      </w:pPr>
    </w:p>
    <w:sectPr w:rsidR="00864265" w:rsidRPr="0074726E" w:rsidSect="009C20CF">
      <w:headerReference w:type="default" r:id="rId9"/>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E2" w:rsidRDefault="00112BE2">
      <w:r>
        <w:separator/>
      </w:r>
    </w:p>
  </w:endnote>
  <w:endnote w:type="continuationSeparator" w:id="0">
    <w:p w:rsidR="00112BE2" w:rsidRDefault="0011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E2" w:rsidRDefault="00112BE2">
      <w:r>
        <w:separator/>
      </w:r>
    </w:p>
  </w:footnote>
  <w:footnote w:type="continuationSeparator" w:id="0">
    <w:p w:rsidR="00112BE2" w:rsidRDefault="0011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E2" w:rsidRDefault="00112BE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1F792207"/>
    <w:multiLevelType w:val="multilevel"/>
    <w:tmpl w:val="237A5FD4"/>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ascii="Times New Roman" w:hAnsi="Times New Roman" w:cs="Times New Roman" w:hint="default"/>
        <w:b w:val="0"/>
        <w:sz w:val="28"/>
        <w:szCs w:val="28"/>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E47288"/>
    <w:multiLevelType w:val="multilevel"/>
    <w:tmpl w:val="F54E47FE"/>
    <w:numStyleLink w:val="a"/>
  </w:abstractNum>
  <w:abstractNum w:abstractNumId="9" w15:restartNumberingAfterBreak="0">
    <w:nsid w:val="2589300A"/>
    <w:multiLevelType w:val="hybridMultilevel"/>
    <w:tmpl w:val="48CE75BE"/>
    <w:styleLink w:val="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2"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6DC5FF8"/>
    <w:multiLevelType w:val="hybridMultilevel"/>
    <w:tmpl w:val="9DEE5FD2"/>
    <w:styleLink w:val="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3A5EB9"/>
    <w:multiLevelType w:val="hybridMultilevel"/>
    <w:tmpl w:val="4FE6858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9C0198"/>
    <w:multiLevelType w:val="hybridMultilevel"/>
    <w:tmpl w:val="AE0A256C"/>
    <w:styleLink w:val="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0"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3"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6A035269"/>
    <w:multiLevelType w:val="multilevel"/>
    <w:tmpl w:val="8C2CF26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6"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5"/>
  </w:num>
  <w:num w:numId="3">
    <w:abstractNumId w:val="11"/>
  </w:num>
  <w:num w:numId="4">
    <w:abstractNumId w:val="8"/>
  </w:num>
  <w:num w:numId="5">
    <w:abstractNumId w:val="20"/>
  </w:num>
  <w:num w:numId="6">
    <w:abstractNumId w:val="13"/>
  </w:num>
  <w:num w:numId="7">
    <w:abstractNumId w:val="17"/>
  </w:num>
  <w:num w:numId="8">
    <w:abstractNumId w:val="9"/>
  </w:num>
  <w:num w:numId="9">
    <w:abstractNumId w:val="23"/>
  </w:num>
  <w:num w:numId="10">
    <w:abstractNumId w:val="12"/>
  </w:num>
  <w:num w:numId="11">
    <w:abstractNumId w:val="14"/>
  </w:num>
  <w:num w:numId="12">
    <w:abstractNumId w:val="25"/>
  </w:num>
  <w:num w:numId="13">
    <w:abstractNumId w:val="28"/>
  </w:num>
  <w:num w:numId="14">
    <w:abstractNumId w:val="19"/>
  </w:num>
  <w:num w:numId="15">
    <w:abstractNumId w:val="10"/>
  </w:num>
  <w:num w:numId="16">
    <w:abstractNumId w:val="18"/>
  </w:num>
  <w:num w:numId="17">
    <w:abstractNumId w:val="0"/>
  </w:num>
  <w:num w:numId="18">
    <w:abstractNumId w:val="5"/>
  </w:num>
  <w:num w:numId="19">
    <w:abstractNumId w:val="26"/>
  </w:num>
  <w:num w:numId="20">
    <w:abstractNumId w:val="21"/>
  </w:num>
  <w:num w:numId="21">
    <w:abstractNumId w:val="3"/>
  </w:num>
  <w:num w:numId="22">
    <w:abstractNumId w:val="2"/>
  </w:num>
  <w:num w:numId="23">
    <w:abstractNumId w:val="22"/>
  </w:num>
  <w:num w:numId="24">
    <w:abstractNumId w:val="1"/>
  </w:num>
  <w:num w:numId="25">
    <w:abstractNumId w:val="7"/>
  </w:num>
  <w:num w:numId="26">
    <w:abstractNumId w:val="27"/>
  </w:num>
  <w:num w:numId="27">
    <w:abstractNumId w:val="16"/>
  </w:num>
  <w:num w:numId="28">
    <w:abstractNumId w:val="6"/>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6955"/>
    <w:rsid w:val="00047D1A"/>
    <w:rsid w:val="00056323"/>
    <w:rsid w:val="000600CD"/>
    <w:rsid w:val="0007223B"/>
    <w:rsid w:val="00076B82"/>
    <w:rsid w:val="000811ED"/>
    <w:rsid w:val="000829B4"/>
    <w:rsid w:val="000D4245"/>
    <w:rsid w:val="00112BE2"/>
    <w:rsid w:val="00153AF1"/>
    <w:rsid w:val="0015739D"/>
    <w:rsid w:val="00162465"/>
    <w:rsid w:val="00163482"/>
    <w:rsid w:val="001676CC"/>
    <w:rsid w:val="00181C1B"/>
    <w:rsid w:val="00195799"/>
    <w:rsid w:val="001B0F4F"/>
    <w:rsid w:val="001B4F79"/>
    <w:rsid w:val="001D1CE1"/>
    <w:rsid w:val="001E46F6"/>
    <w:rsid w:val="001F24DB"/>
    <w:rsid w:val="001F72F1"/>
    <w:rsid w:val="00202B8E"/>
    <w:rsid w:val="00205AB4"/>
    <w:rsid w:val="0021188E"/>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31A8"/>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54EC0"/>
    <w:rsid w:val="005663A6"/>
    <w:rsid w:val="00583D21"/>
    <w:rsid w:val="0059364A"/>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0671C"/>
    <w:rsid w:val="00711F40"/>
    <w:rsid w:val="007138FD"/>
    <w:rsid w:val="00723AA1"/>
    <w:rsid w:val="00730243"/>
    <w:rsid w:val="007322BF"/>
    <w:rsid w:val="00746F99"/>
    <w:rsid w:val="0074726E"/>
    <w:rsid w:val="007936A6"/>
    <w:rsid w:val="007A1DE9"/>
    <w:rsid w:val="007A2C63"/>
    <w:rsid w:val="007B1537"/>
    <w:rsid w:val="007E23E9"/>
    <w:rsid w:val="00800227"/>
    <w:rsid w:val="00817960"/>
    <w:rsid w:val="00822430"/>
    <w:rsid w:val="008322F5"/>
    <w:rsid w:val="00834B92"/>
    <w:rsid w:val="00845147"/>
    <w:rsid w:val="008464BB"/>
    <w:rsid w:val="008477AC"/>
    <w:rsid w:val="00853269"/>
    <w:rsid w:val="00855EFF"/>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F15E4"/>
    <w:rsid w:val="009F7E6C"/>
    <w:rsid w:val="00A23B72"/>
    <w:rsid w:val="00A23E20"/>
    <w:rsid w:val="00A25133"/>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0098"/>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1">
    <w:name w:val="heading 5"/>
    <w:basedOn w:val="a2"/>
    <w:next w:val="a2"/>
    <w:link w:val="52"/>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2">
    <w:name w:val="Заголовок 5 Знак"/>
    <w:basedOn w:val="a3"/>
    <w:link w:val="51"/>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3">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2">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uiPriority w:val="99"/>
    <w:rsid w:val="00A25133"/>
    <w:pPr>
      <w:numPr>
        <w:numId w:val="6"/>
      </w:numPr>
    </w:pPr>
  </w:style>
  <w:style w:type="numbering" w:customStyle="1" w:styleId="50">
    <w:name w:val="Список заголовков_Шестаков5"/>
    <w:basedOn w:val="a5"/>
    <w:uiPriority w:val="99"/>
    <w:rsid w:val="00A25133"/>
    <w:pPr>
      <w:numPr>
        <w:numId w:val="7"/>
      </w:numPr>
    </w:pPr>
  </w:style>
  <w:style w:type="numbering" w:customStyle="1" w:styleId="5">
    <w:name w:val="Перечисления (по тексту)5"/>
    <w:uiPriority w:val="99"/>
    <w:rsid w:val="00A25133"/>
    <w:pPr>
      <w:numPr>
        <w:numId w:val="8"/>
      </w:numPr>
    </w:pPr>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320551" TargetMode="External"/><Relationship Id="rId3" Type="http://schemas.openxmlformats.org/officeDocument/2006/relationships/settings" Target="settings.xml"/><Relationship Id="rId7" Type="http://schemas.openxmlformats.org/officeDocument/2006/relationships/hyperlink" Target="kodeks://link/d?nd=902299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2025</Words>
  <Characters>11547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27</cp:revision>
  <cp:lastPrinted>2025-09-12T06:09:00Z</cp:lastPrinted>
  <dcterms:created xsi:type="dcterms:W3CDTF">2025-05-19T00:40:00Z</dcterms:created>
  <dcterms:modified xsi:type="dcterms:W3CDTF">2026-04-01T04:51:00Z</dcterms:modified>
</cp:coreProperties>
</file>